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200"/>
        <w:jc w:val="center"/>
      </w:pPr>
      <w:r>
        <w:rPr>
          <w:rFonts w:ascii="Arial" w:cs="Arial" w:eastAsia="Arial" w:hAnsi="Arial"/>
          <w:b/>
          <w:bCs/>
          <w:color w:val="1F4E78"/>
          <w:sz w:val="56"/>
          <w:szCs w:val="56"/>
        </w:rPr>
        <w:t xml:space="preserve">THE COMMUNITY CONTRIBUTION PLAN</w:t>
      </w:r>
    </w:p>
    <w:p>
      <w:pPr>
        <w:spacing w:after="800"/>
        <w:jc w:val="center"/>
      </w:pPr>
      <w:r>
        <w:rPr>
          <w:rFonts w:ascii="Arial" w:cs="Arial" w:eastAsia="Arial" w:hAnsi="Arial"/>
          <w:i/>
          <w:iCs/>
          <w:color w:val="2E75B6"/>
          <w:sz w:val="36"/>
          <w:szCs w:val="36"/>
        </w:rPr>
        <w:t xml:space="preserve">A Hybrid Reform Path to Social Security Solvency</w:t>
      </w:r>
    </w:p>
    <w:p>
      <w:pPr>
        <w:pBdr>
          <w:bottom w:val="single" w:color="2E75B6" w:sz="12"/>
        </w:pBdr>
        <w:spacing w:after="400"/>
        <w:jc w:val="center"/>
      </w:pPr>
      <w:r>
        <w:t xml:space="preserve"/>
      </w:r>
    </w:p>
    <w:p>
      <w:pPr>
        <w:spacing w:after="200"/>
        <w:jc w:val="center"/>
      </w:pPr>
      <w:r>
        <w:rPr>
          <w:rFonts w:ascii="Arial" w:cs="Arial" w:eastAsia="Arial" w:hAnsi="Arial"/>
          <w:color w:val="262626"/>
          <w:sz w:val="24"/>
          <w:szCs w:val="24"/>
        </w:rPr>
        <w:t xml:space="preserve">Combining a Phased Sunset of the Current System</w:t>
      </w:r>
    </w:p>
    <w:p>
      <w:pPr>
        <w:spacing w:after="200"/>
        <w:jc w:val="center"/>
      </w:pPr>
      <w:r>
        <w:rPr>
          <w:rFonts w:ascii="Arial" w:cs="Arial" w:eastAsia="Arial" w:hAnsi="Arial"/>
          <w:color w:val="262626"/>
          <w:sz w:val="24"/>
          <w:szCs w:val="24"/>
        </w:rPr>
        <w:t xml:space="preserve">with a Mandatory Hybrid Retirement System</w:t>
      </w:r>
    </w:p>
    <w:p>
      <w:pPr>
        <w:spacing w:after="800"/>
        <w:jc w:val="center"/>
      </w:pPr>
      <w:r>
        <w:rPr>
          <w:rFonts w:ascii="Arial" w:cs="Arial" w:eastAsia="Arial" w:hAnsi="Arial"/>
          <w:color w:val="262626"/>
          <w:sz w:val="24"/>
          <w:szCs w:val="24"/>
        </w:rPr>
        <w:t xml:space="preserve">Backed by a Sovereign Investment Fund</w:t>
      </w:r>
    </w:p>
    <w:p>
      <w:pPr>
        <w:spacing w:before="2400"/>
      </w:pPr>
      <w:r>
        <w:t xml:space="preserve"/>
      </w:r>
    </w:p>
    <w:p>
      <w:pPr>
        <w:jc w:val="center"/>
      </w:pPr>
      <w:r>
        <w:rPr>
          <w:rFonts w:ascii="Arial" w:cs="Arial" w:eastAsia="Arial" w:hAnsi="Arial"/>
          <w:i/>
          <w:iCs/>
          <w:color w:val="595959"/>
          <w:sz w:val="20"/>
          <w:szCs w:val="20"/>
        </w:rPr>
        <w:t xml:space="preserve">Working Draft — Version 1.0</w:t>
      </w:r>
    </w:p>
    <w:p>
      <w:pPr>
        <w:spacing w:before="100"/>
        <w:jc w:val="center"/>
      </w:pPr>
      <w:r>
        <w:rPr>
          <w:rFonts w:ascii="Arial" w:cs="Arial" w:eastAsia="Arial" w:hAnsi="Arial"/>
          <w:b/>
          <w:bCs/>
          <w:color w:val="262626"/>
          <w:sz w:val="22"/>
          <w:szCs w:val="22"/>
        </w:rPr>
        <w:t xml:space="preserve">Jason Robertson</w:t>
      </w:r>
    </w:p>
    <w:p>
      <w:pPr>
        <w:jc w:val="center"/>
      </w:pPr>
      <w:r>
        <w:rPr>
          <w:rFonts w:ascii="Arial" w:cs="Arial" w:eastAsia="Arial" w:hAnsi="Arial"/>
          <w:color w:val="595959"/>
          <w:sz w:val="20"/>
          <w:szCs w:val="20"/>
        </w:rPr>
        <w:t xml:space="preserve">Ohio, USA</w:t>
      </w:r>
    </w:p>
    <w:p>
      <w:pPr>
        <w:spacing w:before="480"/>
        <w:jc w:val="center"/>
      </w:pPr>
      <w:r>
        <w:rPr>
          <w:rFonts w:ascii="Arial" w:cs="Arial" w:eastAsia="Arial" w:hAnsi="Arial"/>
          <w:i/>
          <w:iCs/>
          <w:color w:val="595959"/>
          <w:sz w:val="16"/>
          <w:szCs w:val="16"/>
        </w:rPr>
        <w:t>v1.1  ·  Created April 2026  ·  Updated May 3, 2026  ·  Updated May 6, 2026 for v2.30.7 (Sovereign Fund capitalization) · content last changed v3.8.457</w:t>
      </w:r>
    </w:p>
    <w:p>
      <w:pPr>
        <w:spacing w:before="480"/>
        <w:jc w:val="center"/>
      </w:pPr>
      <w:r>
        <w:rPr>
          <w:b/>
        </w:rPr>
        <w:t xml:space="preserve">SWEPT AND CURRENT (v3.8.362). This document was reviewed line by line at v3.8.354, every numerical claim in it checked against the registry and the models, and the corrections applied in place. Its figures are current as of v3.8.361. THE NOTICE THAT FOLLOWS IS KEPT AS HISTORY, not as a live warning: it was written before that review and is superseded by it. Where a claim could not be restated -- because the finding itself was overturned rather than the number -- the document says so at the point of use. Original notice: UNDER REVISION (v3.8.337). </w:t>
      </w:r>
      <w:r>
        <w:t>This document's figures for the Social Security transition are superseded. Measured in today's dollars, with the workers the phase-out grandfathers actually retiring and claiming, phasing out Social Security alone would require about $58 trillion of cumulative borrowing by 2085, and the platform's reform reduces that to about $35 trillion: a reduction of about 40 percent, not the 99.9 percent (from $93.9 trillion to $82 billion) or the peak of about $1.9 trillion stated in earlier versions. [SUPERSEDED AGAIN v3.8.354: since absorption the comparison is no longer like for like. The standalone sunset is $73 trillion and the platform's wind-down about $85 trillion, MORE rather than less, because the payroll tax compounds in the fund instead of paying benefits; the fund reaches about $137 trillion and the platform reduces the deficit at maturity.] Passages that rest on those figures will be rewritten; see the version log for v3.8.336 and v3.8.337.</w:t>
      </w:r>
      <w:r>
        <w:t xml:space="preserve"> UPDATED v3.8.341: both models have since been rebuilt on the decided repayment rule -- workers leave oldest first and get back their pre-enactment contributions with interest at the government's own borrowing cost, before they retire. On that basis the standalone sunset needs about $73 trillion of cumulative borrowing by 2085 and the platform's reform about $60 trillion, a reduction of about 18 percent rather than the 40 percent stated when this notice was written, or the 99.9 percent stated in the document below.</w:t>
      </w:r>
      <w:r>
        <w:t xml:space="preserve"> UPDATED v3.8.347: the platform has since adopted ABSORPTION, which it always intended -- the Social Security trust fund moves into the Sovereign Fund at year 1 and every payroll tax dollar of the wind-down goes to the fund, with benefits and repayments financed by borrowing. On that design the fund reaches about $137 trillion by year 60 and the platform REDUCES the federal deficit by about $2.72 trillion a year at its published 4 percent return, or $1.39 trillion counting interest on the transition debt, which stands at about $85 trillion. The gain is a spread between the fund's return and the government's borrowing cost and reverses below about 3 percent. Separately, the pillars' own build-out years are now costed for the first time: about $0.321 trillion [UPDATED v3.8.414: the first-year figure moved to $0.321 trillion when the pillar ledger adopted the CMS 2024 column at v3.8.409 -- more existing spending absorbed means a smaller first-year deficit] in year 1, peaking near $1.7 trillion in year 6, roughly $20 trillion over fifteen years, none of it inside the Social Security figure. See 05_Transition_Design_Options_And_Costs.docx and 05_Federal_Fiscal_Impact_Analysis.docx, which carry the current figures.</w:t>
      </w:r>
    </w:p>
    <w:p>
      <w:r>
        <w:br w:type="page"/>
      </w:r>
    </w:p>
    <w:p>
      <w:pPr>
        <w:spacing w:before="480"/>
        <w:jc w:val="center"/>
      </w:pPr>
      <w:r>
        <w:rPr>
          <w:rFonts w:ascii="Arial" w:cs="Arial" w:eastAsia="Arial" w:hAnsi="Arial"/>
          <w:i/>
          <w:iCs/>
          <w:color w:val="595959"/>
          <w:sz w:val="16"/>
          <w:szCs w:val="16"/>
        </w:rPr>
        <w:t>Sources Baseline. Numerical claims in this document derive from the canonical sources cataloged in 05_Sources_And_Derivation_Convention.docx, including: the sealed 2026 Social Security Trustees Report [UPDATED v3.8.354: this cited Trustees Reports 2023-2025; the platform moved to the sealed 2026 report at v3.8.333, and the standalone sunset figure on that basis is $73 trillion in today's dollars] (the $93.9 trillion [RECOMPUTED v3.8.295: read $63 trillion. That figure applied the trust fund's EARNING rate to the phase in which the government BORROWS. At the decided 4.0 percent borrowing rate -- anchored to CBO's sealed projection of the average rate on federal debt, mean 4.01 percent over 2026-2056 -- the same model gives $93.9 trillion. The reform side was recomputed too: its peak is $2.01 trillion and the reduction is 97.9 percent] cumulative, undiscounted 60-year transition-financing figure used as the legacy-system comparison baseline); Combined Reform Model (04_Combined_Reform_Model.xlsx) for the transition figures [RESTATED v3.8.354: this cited 'the $82 billion peak transition borrowing and the 99.9 percent reduction figure'. Both are retired. The same model, rebuilt in today's dollars with the grandfathered workers retiring and Social Security absorbed into the fund, gives about $85 trillion of wind-down borrowing and a fund of about $137 trillion]; IRS SOI 2023 for filer-population derivations. The white paper consolidates findings whose component sourcing is detailed in the underlying analytical documents and the Federal Fiscal Impact Analysis.</w:t>
      </w:r>
    </w:p>
    <w:p>
      <w:pPr>
        <w:pStyle w:val="Heading1"/>
        <w:spacing w:after="200" w:before="360"/>
      </w:pPr>
      <w:r>
        <w:rPr>
          <w:rFonts w:ascii="Arial" w:cs="Arial" w:eastAsia="Arial" w:hAnsi="Arial"/>
          <w:b/>
          <w:bCs/>
          <w:color w:val="1F4E78"/>
          <w:sz w:val="32"/>
          <w:szCs w:val="32"/>
        </w:rPr>
        <w:t xml:space="preserve">Executive Summary</w:t>
      </w:r>
    </w:p>
    <w:p>
      <w:pPr>
        <w:spacing w:after="160" w:line="300"/>
        <w:jc w:val="both"/>
      </w:pPr>
      <w:r>
        <w:rPr>
          <w:rFonts w:ascii="Arial" w:cs="Arial" w:eastAsia="Arial" w:hAnsi="Arial"/>
          <w:color w:val="262626"/>
          <w:sz w:val="22"/>
          <w:szCs w:val="22"/>
        </w:rPr>
        <w:t>Social Security faces an actuarial cliff. The Old-Age and Survivors Insurance (OASI) Trust Fund is projected to be depleted by 2032, after which incoming payroll taxes will cover only an estimated 79 percent of scheduled benefits. [VERIFIED AND RESTATED v3.8.354: the sealed 2026 Trustees Report gives an OASI income rate of 11.28 and a cost rate of 14.33 at depletion (table IV.B1, intermediate), which is 79 percent payable, not 78. The depletion year of 2032 is confirmed by table II.D1.] The standard policy responses—raise the retirement age, raise the payroll tax cap, cut benefits, or some combination—each impose narrow burdens on specific groups and have proven politically intractable for over two decades.  (Source baseline: see Sources_And_Derivation_Convention.docx.)</w:t>
      </w:r>
    </w:p>
    <w:p>
      <w:pPr>
        <w:spacing w:after="160" w:line="300"/>
        <w:jc w:val="both"/>
      </w:pPr>
      <w:r>
        <w:rPr>
          <w:rFonts w:ascii="Arial" w:cs="Arial" w:eastAsia="Arial" w:hAnsi="Arial"/>
          <w:color w:val="262626"/>
          <w:sz w:val="22"/>
          <w:szCs w:val="22"/>
        </w:rPr>
        <w:t>This paper proposes an alternative: a phased sunset of the current pay-as-you-go system combined with the launch of a Hybrid Retirement System that splits mandatory contributions between individual 401(k) accounts and a collective sovereign investment fund. The two reforms operate in parallel. The Sovereign Fund’s investment returns offset the transition deficit of the legacy system while individual accounts replace traditional benefits for new entrants to the workforce.</w:t>
      </w:r>
    </w:p>
    <w:p>
      <w:pPr>
        <w:pStyle w:val="Heading3"/>
        <w:spacing w:after="100" w:before="200"/>
      </w:pPr>
      <w:r>
        <w:rPr>
          <w:rFonts w:ascii="Arial" w:cs="Arial" w:eastAsia="Arial" w:hAnsi="Arial"/>
          <w:b/>
          <w:bCs/>
          <w:color w:val="2E75B6"/>
          <w:sz w:val="22"/>
          <w:szCs w:val="22"/>
        </w:rPr>
        <w:t xml:space="preserve">Headline Findings</w:t>
      </w:r>
    </w:p>
    <w:p>
      <w:pPr>
        <w:pStyle w:val="ListParagraph"/>
        <w:numPr>
          <w:ilvl w:val="0"/>
          <w:numId w:val="2"/>
        </w:numPr>
        <w:spacing w:after="80" w:line="280"/>
      </w:pPr>
      <w:r>
        <w:rPr>
          <w:rFonts w:ascii="Arial" w:cs="Arial" w:eastAsia="Arial" w:hAnsi="Arial"/>
          <w:b/>
          <w:bCs/>
          <w:sz w:val="22"/>
          <w:szCs w:val="22"/>
        </w:rPr>
        <w:t xml:space="preserve">Sunset alone is fiscally infeasible.</w:t>
      </w:r>
      <w:r>
        <w:rPr>
          <w:rFonts w:ascii="Arial" w:cs="Arial" w:eastAsia="Arial" w:hAnsi="Arial"/>
          <w:sz w:val="22"/>
          <w:szCs w:val="22"/>
        </w:rPr>
        <w:t xml:space="preserve"> A 50-year phase-out of Social Security with refundable tax credits to displaced workers, executed without a replacement system, requires approximately $73 trillion in cumulative transition financing, in today's dollars. [RESTATED v3.8.354] This read $93.9 trillion, which was in future dollars on the 2025 Trustees inputs and omitted the retirement of the workers the phase-out grandfathers; see FIG-ss-sunset-peak-borrowing.  (Source baseline: see Sources_And_Derivation_Convention.docx.)</w:t>
      </w:r>
    </w:p>
    <w:p>
      <w:pPr>
        <w:pStyle w:val="ListParagraph"/>
        <w:numPr>
          <w:ilvl w:val="0"/>
          <w:numId w:val="2"/>
        </w:numPr>
        <w:spacing w:after="80" w:line="280"/>
      </w:pPr>
      <w:r>
        <w:rPr>
          <w:rFonts w:ascii="Arial" w:cs="Arial" w:eastAsia="Arial" w:hAnsi="Arial"/>
          <w:b/>
          <w:bCs/>
          <w:sz w:val="22"/>
          <w:szCs w:val="22"/>
        </w:rPr>
        <w:t xml:space="preserve">Combined reform is essentially self-funding.</w:t>
      </w:r>
      <w:r>
        <w:rPr>
          <w:rFonts w:ascii="Arial" w:cs="Arial" w:eastAsia="Arial" w:hAnsi="Arial"/>
          <w:sz w:val="22"/>
          <w:szCs w:val="22"/>
        </w:rPr>
        <w:t xml:space="preserve"> Pairing the same sunset with a 12 percent mandatory hybrid contribution—20 percent of which flows to a sovereign investment fund—changes what the borrowing buys. [RESTATED v3.8.354] THIS READ 'reduces peak transition borrowing to approximately $82 billion: a 99.9 percent reduction', and that claim is retired. On the platform's current design the wind-down borrows about $85 trillion by 2085 BY DESIGN, because every payroll tax dollar collected during it compounds in the Sovereign Fund instead of paying benefits. What the reform buys is a fund that outgrows the debt -- about $137 trillion by year 60 -- and a platform that REDUCES the federal deficit by about $2.72 trillion a year once mature.  (Source baseline: see Sources_And_Derivation_Convention.docx.)</w:t>
      </w:r>
    </w:p>
    <w:p>
      <w:pPr>
        <w:pStyle w:val="ListParagraph"/>
        <w:numPr>
          <w:ilvl w:val="0"/>
          <w:numId w:val="2"/>
        </w:numPr>
        <w:spacing w:after="80" w:line="280"/>
      </w:pPr>
      <w:r>
        <w:rPr>
          <w:rFonts w:ascii="Arial" w:cs="Arial" w:eastAsia="Arial" w:hAnsi="Arial"/>
          <w:b/>
          <w:bCs/>
          <w:sz w:val="22"/>
          <w:szCs w:val="22"/>
        </w:rPr>
        <w:t>Individual outcomes improve. A worker entering the labor force at age 25 earning $50,000 retires with approximately $1.23 million, generating roughly $49,000 in annual sustainable retirement income, approximately 1.4 times the average current Social Security benefit. RE-DERIVED v3.8.299 AT THE DECIDED RETURN. Computed from this document's own stated inputs -- age 25, $50,000 starting salary, 3 percent wage growth, 9.6 percent individual-account share, retirement at 67, 4 percent withdrawal, AND CONTRIBUTIONS CREDITED AT THE START OF EACH YEAR [CONVENTION RECORDED v3.8.404: this last input was the only one not stated, and it is worth about 4 percent of the final balance. With contributions credited at year end the same inputs give $831,402 rather than $864,658. Verified at both returns: the stated $865,000 and $34,600 reproduce as $864,658 and $34,586, and the 4.28 percent figures of $920,000 and $36,800 as $920,092 and $36,804]: at the platform's published 4.0 percent lead the balance is approximately $865,000 and sustainable income approximately $34,600, which is ROUGHLY PARITY WITH THE CURRENT AVERAGE SOCIAL SECURITY BENEFIT, not 1.4 times it. At the 4.28 percent evidence anchor: approximately $920,000 and $36,800, about 1.05 times. AND A REPRODUCTION CAVEAT THAT BELONGS WITH THE FIGURE: the published $1,227,000 does NOT reproduce exactly from the inputs stated above -- the same method gives $1,218,000, a 0.7 percent gap that closes only at a 9.65 percent share rather than the registered 9.6. The re-derived figures above use the registered share and carry the same method, so they are comparable to each other; none of them is a model output. The original sentence follows. This illustration uses the optimistic 5.5 percent individual-account return; at the platform's published 4.0 percent return the balance is about $865,000 and the income roughly parity with the current benefit [RESTATED v3.8.370] from 'materially lower (roughly parity to modestly above)', and the precise baseline figure is being re-derived as a tracked external-review item. (Source baseline: see Sources_And_Derivation_Convention.docx.)</w:t>
      </w:r>
      <w:r>
        <w:rPr>
          <w:rFonts w:ascii="Arial" w:cs="Arial" w:eastAsia="Arial" w:hAnsi="Arial"/>
          <w:sz w:val="22"/>
          <w:szCs w:val="22"/>
        </w:rPr>
      </w:r>
    </w:p>
    <w:p>
      <w:pPr>
        <w:pStyle w:val="ListParagraph"/>
        <w:numPr>
          <w:ilvl w:val="0"/>
          <w:numId w:val="2"/>
        </w:numPr>
        <w:spacing w:after="80" w:line="280"/>
      </w:pPr>
      <w:r>
        <w:rPr>
          <w:rFonts w:ascii="Arial" w:cs="Arial" w:eastAsia="Arial" w:hAnsi="Arial"/>
          <w:b/>
          <w:bCs/>
          <w:sz w:val="22"/>
          <w:szCs w:val="22"/>
        </w:rPr>
        <w:t>The Sovereign Fund accumulates significant national wealth. At the sourced [[FIG:FIG-fund-real-return]] baseline real return the fund grows to approximately [[FIG:FIG-fund-corpus-year60]] over 60 years; at an optimistic 6 percent it reaches approximately $122 trillion [CORRECTED v3.8.234. This figure is GROSS OF EVERY PILLAR DISBURSEMENT: the workbook it comes from nets out none after year nineteen. The platform now publishes a band computed by tools/fund_ledger.py across its own 4-7 percent return range -- roughly $60 trillion at the low end, $73 trillion in the middle, $113 trillion at the top -- and leads with the low end so no claim is overstated. Reproduce: python3 tools/fund_ledger.py --return 0.04. The gross figures are kept as history rather than deleted.]. Either is comparable in scale to Norway's Government Pension Fund Global on a per-capita basis. (Source baseline: see Sources_And_Derivation_Convention.docx.)</w:t>
      </w:r>
      <w:r>
        <w:rPr>
          <w:rFonts w:ascii="Arial" w:cs="Arial" w:eastAsia="Arial" w:hAnsi="Arial"/>
          <w:sz w:val="22"/>
          <w:szCs w:val="22"/>
        </w:rPr>
      </w:r>
    </w:p>
    <w:p>
      <w:pPr>
        <w:spacing w:after="2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4"/>
              <w:left w:val="single" w:color="2E75B6" w:sz="18"/>
              <w:bottom w:val="single" w:color="2E75B6" w:sz="4"/>
              <w:right w:val="single" w:color="2E75B6" w:sz="4"/>
            </w:tcBorders>
            <w:shd w:fill="DEEAF6" w:val="clear"/>
            <w:tcMar>
              <w:top w:type="dxa" w:w="200"/>
              <w:left w:type="dxa" w:w="240"/>
              <w:bottom w:type="dxa" w:w="200"/>
              <w:right w:type="dxa" w:w="240"/>
            </w:tcMar>
          </w:tcPr>
          <w:p>
            <w:pPr>
              <w:spacing w:line="280"/>
            </w:pPr>
            <w:r>
              <w:rPr>
                <w:rFonts w:ascii="Arial" w:cs="Arial" w:eastAsia="Arial" w:hAnsi="Arial"/>
                <w:i/>
                <w:iCs/>
                <w:color w:val="262626"/>
                <w:sz w:val="22"/>
                <w:szCs w:val="22"/>
              </w:rPr>
              <w:t>This proposal does not fit neatly within existing partisan retirement policy frameworks. It combines market-based individual accounts (a position historically associated with the political right) with mandatory employer contributions and a collective Sovereign Fund (positions historically associated with the political left). The proposal is best understood as an attempt to apply community-based fairness principles to the actuarial reality facing the program.</w:t>
            </w:r>
          </w:p>
        </w:tc>
      </w:tr>
    </w:tbl>
    <w:p>
      <w:pPr>
        <w:spacing w:after="200"/>
      </w:pPr>
      <w:r>
        <w:t xml:space="preserve"/>
      </w:r>
    </w:p>
    <w:p>
      <w:pPr>
        <w:pStyle w:val="Heading3"/>
        <w:spacing w:after="100" w:before="200"/>
      </w:pPr>
      <w:r>
        <w:rPr>
          <w:rFonts w:ascii="Arial" w:cs="Arial" w:eastAsia="Arial" w:hAnsi="Arial"/>
          <w:b/>
          <w:bCs/>
          <w:color w:val="2E75B6"/>
          <w:sz w:val="22"/>
          <w:szCs w:val="22"/>
        </w:rPr>
        <w:t xml:space="preserve">Document Structure</w:t>
      </w:r>
    </w:p>
    <w:p>
      <w:pPr>
        <w:spacing w:after="160" w:line="300"/>
        <w:jc w:val="both"/>
      </w:pPr>
      <w:r>
        <w:rPr>
          <w:rFonts w:ascii="Arial" w:cs="Arial" w:eastAsia="Arial" w:hAnsi="Arial"/>
          <w:color w:val="262626"/>
          <w:sz w:val="22"/>
          <w:szCs w:val="22"/>
        </w:rPr>
        <w:t xml:space="preserve">Section 1 establishes the problem and current trajectory. Section 2 surveys international comparables that inform the design. Section 3 details the three components of the proposal. Section 4 presents the analytical results from a year-by-year cash flow model. Section 5 addresses governance and implementation. Section 6 discusses limitations and open questions. Section 7 outlines next steps.</w:t>
      </w:r>
    </w:p>
    <w:p>
      <w:r>
        <w:br w:type="page"/>
      </w:r>
    </w:p>
    <w:p>
      <w:pPr>
        <w:pStyle w:val="Heading1"/>
        <w:spacing w:after="200" w:before="360"/>
      </w:pPr>
      <w:r>
        <w:rPr>
          <w:rFonts w:ascii="Arial" w:cs="Arial" w:eastAsia="Arial" w:hAnsi="Arial"/>
          <w:b/>
          <w:bCs/>
          <w:color w:val="1F4E78"/>
          <w:sz w:val="32"/>
          <w:szCs w:val="32"/>
        </w:rPr>
        <w:t xml:space="preserve">1. The Problem</w:t>
      </w:r>
    </w:p>
    <w:p>
      <w:pPr>
        <w:pStyle w:val="Heading2"/>
        <w:spacing w:after="140" w:before="280"/>
      </w:pPr>
      <w:r>
        <w:rPr>
          <w:rFonts w:ascii="Arial" w:cs="Arial" w:eastAsia="Arial" w:hAnsi="Arial"/>
          <w:b/>
          <w:bCs/>
          <w:color w:val="1F4E78"/>
          <w:sz w:val="26"/>
          <w:szCs w:val="26"/>
        </w:rPr>
        <w:t xml:space="preserve">1.1 The Actuarial Trajectory</w:t>
      </w:r>
    </w:p>
    <w:p>
      <w:pPr>
        <w:spacing w:after="160" w:line="300"/>
        <w:jc w:val="both"/>
      </w:pPr>
      <w:r>
        <w:rPr>
          <w:rFonts w:ascii="Arial" w:cs="Arial" w:eastAsia="Arial" w:hAnsi="Arial"/>
          <w:color w:val="262626"/>
          <w:sz w:val="22"/>
          <w:szCs w:val="22"/>
        </w:rPr>
        <w:t>Social Security operates on a pay-as-you-go basis: current workers’ Federal Insurance Contributions Act (FICA) taxes fund current retirees’ benefits in real time. The system maintains a Trust Fund as a buffer, but this buffer is small relative to ongoing obligations. According to the 2026 Trustees Report, the OASI Trust Fund is projected to be depleted in 2032, at which point incoming FICA receipts will cover only approximately 79 percent of scheduled benefits. [RESTATED v3.8.354 from 78 percent; derived from the sealed 2026 Trustees Report table IV.B1.]</w:t>
      </w:r>
    </w:p>
    <w:p>
      <w:pPr>
        <w:spacing w:after="160" w:line="300"/>
        <w:jc w:val="both"/>
      </w:pPr>
      <w:r>
        <w:rPr>
          <w:rFonts w:ascii="Arial" w:cs="Arial" w:eastAsia="Arial" w:hAnsi="Arial"/>
          <w:color w:val="262626"/>
          <w:sz w:val="22"/>
          <w:szCs w:val="22"/>
        </w:rPr>
        <w:t>The arithmetic driver is demographic. When Social Security paid its first monthly retirement benefits in 1940, the worker-to-beneficiary ratio was high by design: no one had drawn benefits before the program began. By 1945, after the first cohort of retirees had moved through the system, the ratio stood at approximately 42 workers per beneficiary. Today the ratio is approximately 2.7 to 1, and the Congressional Budget Office projects a continued decline. The system was designed in an era of high fertility, lower life expectancy, and continuous wage growth. Each of these underlying conditions has shifted significantly.</w:t>
      </w:r>
    </w:p>
    <w:p>
      <w:pPr>
        <w:pStyle w:val="Heading2"/>
        <w:spacing w:after="140" w:before="280"/>
      </w:pPr>
      <w:r>
        <w:rPr>
          <w:rFonts w:ascii="Arial" w:cs="Arial" w:eastAsia="Arial" w:hAnsi="Arial"/>
          <w:b/>
          <w:bCs/>
          <w:color w:val="1F4E78"/>
          <w:sz w:val="26"/>
          <w:szCs w:val="26"/>
        </w:rPr>
        <w:t xml:space="preserve">1.2 Why Conventional Reforms Have Stalled</w:t>
      </w:r>
    </w:p>
    <w:p>
      <w:pPr>
        <w:spacing w:after="160" w:line="300"/>
        <w:jc w:val="both"/>
      </w:pPr>
      <w:r>
        <w:rPr>
          <w:rFonts w:ascii="Arial" w:cs="Arial" w:eastAsia="Arial" w:hAnsi="Arial"/>
          <w:color w:val="262626"/>
          <w:sz w:val="22"/>
          <w:szCs w:val="22"/>
        </w:rPr>
        <w:t xml:space="preserve">Standard reform proposals concentrate burden on identifiable groups, which has proven politically prohibitive:</w:t>
      </w:r>
    </w:p>
    <w:p>
      <w:pPr>
        <w:pStyle w:val="ListParagraph"/>
        <w:numPr>
          <w:ilvl w:val="0"/>
          <w:numId w:val="2"/>
        </w:numPr>
        <w:spacing w:after="80" w:line="280"/>
      </w:pPr>
      <w:r>
        <w:rPr>
          <w:rFonts w:ascii="Arial" w:cs="Arial" w:eastAsia="Arial" w:hAnsi="Arial"/>
          <w:b/>
          <w:bCs/>
          <w:sz w:val="22"/>
          <w:szCs w:val="22"/>
        </w:rPr>
        <w:t xml:space="preserve">Raising the retirement age</w:t>
      </w:r>
      <w:r>
        <w:rPr>
          <w:rFonts w:ascii="Arial" w:cs="Arial" w:eastAsia="Arial" w:hAnsi="Arial"/>
          <w:sz w:val="22"/>
          <w:szCs w:val="22"/>
        </w:rPr>
        <w:t xml:space="preserve"> imposes the burden disproportionately on workers in physically demanding occupations and those with shorter life expectancy.</w:t>
      </w:r>
    </w:p>
    <w:p>
      <w:pPr>
        <w:pStyle w:val="ListParagraph"/>
        <w:numPr>
          <w:ilvl w:val="0"/>
          <w:numId w:val="2"/>
        </w:numPr>
        <w:spacing w:after="80" w:line="280"/>
      </w:pPr>
      <w:r>
        <w:rPr>
          <w:rFonts w:ascii="Arial" w:cs="Arial" w:eastAsia="Arial" w:hAnsi="Arial"/>
          <w:b/>
          <w:bCs/>
          <w:sz w:val="22"/>
          <w:szCs w:val="22"/>
        </w:rPr>
        <w:t xml:space="preserve">Eliminating the wage cap</w:t>
      </w:r>
      <w:r>
        <w:rPr>
          <w:rFonts w:ascii="Arial" w:cs="Arial" w:eastAsia="Arial" w:hAnsi="Arial"/>
          <w:sz w:val="22"/>
          <w:szCs w:val="22"/>
        </w:rPr>
        <w:t xml:space="preserve"> concentrates the cost on high earners and is politically polarizing.</w:t>
      </w:r>
    </w:p>
    <w:p>
      <w:pPr>
        <w:pStyle w:val="ListParagraph"/>
        <w:numPr>
          <w:ilvl w:val="0"/>
          <w:numId w:val="2"/>
        </w:numPr>
        <w:spacing w:after="80" w:line="280"/>
      </w:pPr>
      <w:r>
        <w:rPr>
          <w:rFonts w:ascii="Arial" w:cs="Arial" w:eastAsia="Arial" w:hAnsi="Arial"/>
          <w:b/>
          <w:bCs/>
          <w:sz w:val="22"/>
          <w:szCs w:val="22"/>
        </w:rPr>
        <w:t xml:space="preserve">Means-testing benefits</w:t>
      </w:r>
      <w:r>
        <w:rPr>
          <w:rFonts w:ascii="Arial" w:cs="Arial" w:eastAsia="Arial" w:hAnsi="Arial"/>
          <w:sz w:val="22"/>
          <w:szCs w:val="22"/>
        </w:rPr>
        <w:t xml:space="preserve"> breaks the universalist insurance principle that has historically protected the program politically.</w:t>
      </w:r>
    </w:p>
    <w:p>
      <w:pPr>
        <w:pStyle w:val="ListParagraph"/>
        <w:numPr>
          <w:ilvl w:val="0"/>
          <w:numId w:val="2"/>
        </w:numPr>
        <w:spacing w:after="80" w:line="280"/>
      </w:pPr>
      <w:r>
        <w:rPr>
          <w:rFonts w:ascii="Arial" w:cs="Arial" w:eastAsia="Arial" w:hAnsi="Arial"/>
          <w:b/>
          <w:bCs/>
          <w:sz w:val="22"/>
          <w:szCs w:val="22"/>
        </w:rPr>
        <w:t xml:space="preserve">Direct benefit cuts</w:t>
      </w:r>
      <w:r>
        <w:rPr>
          <w:rFonts w:ascii="Arial" w:cs="Arial" w:eastAsia="Arial" w:hAnsi="Arial"/>
          <w:sz w:val="22"/>
          <w:szCs w:val="22"/>
        </w:rPr>
        <w:t xml:space="preserve"> impose immediate hardship on current and near-term retirees, the most politically active demographic.</w:t>
      </w:r>
    </w:p>
    <w:p>
      <w:pPr>
        <w:spacing w:after="160" w:line="300"/>
        <w:jc w:val="both"/>
      </w:pPr>
      <w:r>
        <w:rPr>
          <w:rFonts w:ascii="Arial" w:cs="Arial" w:eastAsia="Arial" w:hAnsi="Arial"/>
          <w:color w:val="262626"/>
          <w:sz w:val="22"/>
          <w:szCs w:val="22"/>
        </w:rPr>
        <w:t>Each of these reforms is technically viable. None has assembled durable political coalitions. The 2005 Bush partial privatization initiative is the most recent significant attempt and was abandoned within months despite a unified government, though many analysts argued at the time that the proposal also faced substantive objections — particularly that its transition mechanism required new public borrowing to fund initial individual account contributions while simultaneously reducing future benefit obligations, producing a complex fiscal calculus that critics found unconvincing on its merits as well as politically.</w:t>
      </w:r>
    </w:p>
    <w:p>
      <w:pPr>
        <w:pStyle w:val="Heading2"/>
        <w:spacing w:after="140" w:before="280"/>
      </w:pPr>
      <w:r>
        <w:rPr>
          <w:rFonts w:ascii="Arial" w:cs="Arial" w:eastAsia="Arial" w:hAnsi="Arial"/>
          <w:b/>
          <w:bCs/>
          <w:color w:val="1F4E78"/>
          <w:sz w:val="26"/>
          <w:szCs w:val="26"/>
        </w:rPr>
        <w:t xml:space="preserve">1.3 The Case for a Different Approach</w:t>
      </w:r>
    </w:p>
    <w:p>
      <w:pPr>
        <w:spacing w:after="160" w:line="300"/>
        <w:jc w:val="both"/>
      </w:pPr>
      <w:r>
        <w:rPr>
          <w:rFonts w:ascii="Arial" w:cs="Arial" w:eastAsia="Arial" w:hAnsi="Arial"/>
          <w:color w:val="262626"/>
          <w:sz w:val="22"/>
          <w:szCs w:val="22"/>
        </w:rPr>
        <w:t xml:space="preserve">The persistent stalemate suggests that the framing of reform itself may be the obstacle. Reforms that ask “who gives up something” face structural opposition. Reforms that ask “how do we build something better” may not. The proposal in this paper attempts the latter by combining three elements that, taken individually, have established political constituencies but have not previously been integrated.</w:t>
      </w:r>
    </w:p>
    <w:p>
      <w:r>
        <w:br w:type="page"/>
      </w:r>
    </w:p>
    <w:p>
      <w:pPr>
        <w:pStyle w:val="Heading1"/>
        <w:spacing w:after="200" w:before="360"/>
      </w:pPr>
      <w:r>
        <w:rPr>
          <w:rFonts w:ascii="Arial" w:cs="Arial" w:eastAsia="Arial" w:hAnsi="Arial"/>
          <w:b/>
          <w:bCs/>
          <w:color w:val="1F4E78"/>
          <w:sz w:val="32"/>
          <w:szCs w:val="32"/>
        </w:rPr>
        <w:t xml:space="preserve">2. International Comparables</w:t>
      </w:r>
    </w:p>
    <w:p>
      <w:pPr>
        <w:spacing w:after="160" w:line="300"/>
        <w:jc w:val="both"/>
      </w:pPr>
      <w:r>
        <w:rPr>
          <w:rFonts w:ascii="Arial" w:cs="Arial" w:eastAsia="Arial" w:hAnsi="Arial"/>
          <w:color w:val="262626"/>
          <w:sz w:val="22"/>
          <w:szCs w:val="22"/>
        </w:rPr>
        <w:t xml:space="preserve">Three foreign retirement systems inform the design of this proposal. Each has operated for decades and offers empirical evidence on different components of the hybrid model.</w:t>
      </w:r>
    </w:p>
    <w:p>
      <w:pPr>
        <w:pStyle w:val="Heading2"/>
        <w:spacing w:after="140" w:before="280"/>
      </w:pPr>
      <w:r>
        <w:rPr>
          <w:rFonts w:ascii="Arial" w:cs="Arial" w:eastAsia="Arial" w:hAnsi="Arial"/>
          <w:b/>
          <w:bCs/>
          <w:color w:val="1F4E78"/>
          <w:sz w:val="26"/>
          <w:szCs w:val="26"/>
        </w:rPr>
        <w:t xml:space="preserve">2.1 Australia: Mandatory Superannuation</w:t>
      </w:r>
    </w:p>
    <w:p>
      <w:pPr>
        <w:spacing w:after="160" w:line="300"/>
        <w:jc w:val="both"/>
      </w:pPr>
      <w:r>
        <w:rPr>
          <w:rFonts w:ascii="Arial" w:cs="Arial" w:eastAsia="Arial" w:hAnsi="Arial"/>
          <w:color w:val="262626"/>
          <w:sz w:val="22"/>
          <w:szCs w:val="22"/>
        </w:rPr>
        <w:t>Australia introduced mandatory employer-paid superannuation contributions in 1992, beginning at 3 percent of wages and rising to a current rate of 11.5 percent (scheduled to reach 12 percent in 2025). Contributions flow into individual accounts that workers manage with a range of investment options. Total system assets exceed AUD 3.9 trillion, larger than Australia’s gross domestic product.  (Source baseline: see Sources_And_Derivation_Convention.docx.)</w:t>
      </w:r>
    </w:p>
    <w:p>
      <w:pPr>
        <w:spacing w:after="160" w:line="300"/>
        <w:jc w:val="both"/>
      </w:pPr>
      <w:r>
        <w:rPr>
          <w:rFonts w:ascii="Arial" w:cs="Arial" w:eastAsia="Arial" w:hAnsi="Arial"/>
          <w:color w:val="262626"/>
          <w:sz w:val="22"/>
          <w:szCs w:val="22"/>
        </w:rPr>
        <w:t xml:space="preserve">The Australian system demonstrates that mandatory employer contributions can be implemented without economic disruption, that individual account portability and choice are administratively manageable at national scale, and that compound growth over multi-decade horizons produces substantial individual wealth accumulation. The system has weathered multiple financial crises and remains broadly popular across political coalitions.</w:t>
      </w:r>
    </w:p>
    <w:p>
      <w:pPr>
        <w:pStyle w:val="Heading2"/>
        <w:spacing w:after="140" w:before="280"/>
      </w:pPr>
      <w:r>
        <w:rPr>
          <w:rFonts w:ascii="Arial" w:cs="Arial" w:eastAsia="Arial" w:hAnsi="Arial"/>
          <w:b/>
          <w:bCs/>
          <w:color w:val="1F4E78"/>
          <w:sz w:val="26"/>
          <w:szCs w:val="26"/>
        </w:rPr>
        <w:t xml:space="preserve">2.2 Singapore: The Central Provident Fund</w:t>
      </w:r>
    </w:p>
    <w:p>
      <w:pPr>
        <w:spacing w:after="160" w:line="300"/>
        <w:jc w:val="both"/>
      </w:pPr>
      <w:r>
        <w:rPr>
          <w:rFonts w:ascii="Arial" w:cs="Arial" w:eastAsia="Arial" w:hAnsi="Arial"/>
          <w:color w:val="262626"/>
          <w:sz w:val="22"/>
          <w:szCs w:val="22"/>
        </w:rPr>
        <w:t>Singapore’s Central Provident Fund (CPF) requires combined employer and employee contributions of approximately 37 percent of wages, allocated across retirement, healthcare, and housing accounts. The CPF demonstrates that high mandatory contribution rates are sustainable in a developed economy and that integration of retirement, health, and housing savings within a unified mandatory framework can function efficiently.  (Source baseline: see Sources_And_Derivation_Convention.docx.)</w:t>
      </w:r>
    </w:p>
    <w:p>
      <w:pPr>
        <w:pStyle w:val="Heading2"/>
        <w:spacing w:after="140" w:before="280"/>
      </w:pPr>
      <w:r>
        <w:rPr>
          <w:rFonts w:ascii="Arial" w:cs="Arial" w:eastAsia="Arial" w:hAnsi="Arial"/>
          <w:b/>
          <w:bCs/>
          <w:color w:val="1F4E78"/>
          <w:sz w:val="26"/>
          <w:szCs w:val="26"/>
        </w:rPr>
        <w:t xml:space="preserve">2.3 Norway: The Government Pension Fund Global</w:t>
      </w:r>
    </w:p>
    <w:p>
      <w:pPr>
        <w:spacing w:after="160" w:line="300"/>
        <w:jc w:val="both"/>
      </w:pPr>
      <w:r>
        <w:rPr>
          <w:rFonts w:ascii="Arial" w:cs="Arial" w:eastAsia="Arial" w:hAnsi="Arial"/>
          <w:color w:val="262626"/>
          <w:sz w:val="22"/>
          <w:szCs w:val="22"/>
        </w:rPr>
        <w:t>Norway’s sovereign wealth fund, formally known as the Government Pension Fund Global (GPFG), holds approximately [[FIG:FIG-gpfg-fund-size]] (2025) in assets as of end of 2025 (Norwegian Ministry of Finance: NOK 21.3 trillion year-end 2025 value), equivalent to approximately four times Norway's annual gross domestic product. The fund invests primarily in international equities, bonds, and real estate, following strict rules designed to insulate it from political influence.  (Source baseline: see Sources_And_Derivation_Convention.docx.)</w:t>
      </w:r>
    </w:p>
    <w:p>
      <w:pPr>
        <w:spacing w:after="160" w:line="300"/>
        <w:jc w:val="both"/>
      </w:pPr>
      <w:r>
        <w:rPr>
          <w:rFonts w:ascii="Arial" w:cs="Arial" w:eastAsia="Arial" w:hAnsi="Arial"/>
          <w:color w:val="262626"/>
          <w:sz w:val="22"/>
          <w:szCs w:val="22"/>
        </w:rPr>
        <w:t xml:space="preserve">The GPFG governance model is particularly relevant to this proposal. Key features include passive index-weighted investment strategy (no active stock picking), a mandate to hold no Norwegian domestic equities (eliminating conflicts of interest with domestic political actors), an independent management board insulated from short-term political pressure, and transparent quarterly reporting on all holdings and transactions.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4"/>
              <w:left w:val="single" w:color="2E75B6" w:sz="18"/>
              <w:bottom w:val="single" w:color="2E75B6" w:sz="4"/>
              <w:right w:val="single" w:color="2E75B6" w:sz="4"/>
            </w:tcBorders>
            <w:shd w:fill="DEEAF6" w:val="clear"/>
            <w:tcMar>
              <w:top w:type="dxa" w:w="200"/>
              <w:left w:type="dxa" w:w="240"/>
              <w:bottom w:type="dxa" w:w="200"/>
              <w:right w:type="dxa" w:w="240"/>
            </w:tcMar>
          </w:tcPr>
          <w:p>
            <w:pPr>
              <w:spacing w:line="280"/>
            </w:pPr>
            <w:r>
              <w:rPr>
                <w:rFonts w:ascii="Arial" w:cs="Arial" w:eastAsia="Arial" w:hAnsi="Arial"/>
                <w:i/>
                <w:iCs/>
                <w:color w:val="262626"/>
                <w:sz w:val="22"/>
                <w:szCs w:val="22"/>
              </w:rPr>
              <w:t>The Norwegian governance model is the central template for the Sovereign Fund component of this proposal. Adopting equivalent firewalls is essential to political viability.</w:t>
            </w:r>
          </w:p>
        </w:tc>
      </w:tr>
    </w:tbl>
    <w:p>
      <w:r>
        <w:br w:type="page"/>
      </w:r>
    </w:p>
    <w:p>
      <w:pPr>
        <w:pStyle w:val="Heading1"/>
        <w:spacing w:after="200" w:before="360"/>
      </w:pPr>
      <w:r>
        <w:rPr>
          <w:rFonts w:ascii="Arial" w:cs="Arial" w:eastAsia="Arial" w:hAnsi="Arial"/>
          <w:b/>
          <w:bCs/>
          <w:color w:val="1F4E78"/>
          <w:sz w:val="32"/>
          <w:szCs w:val="32"/>
        </w:rPr>
        <w:t xml:space="preserve">3. The Proposal</w:t>
      </w:r>
    </w:p>
    <w:p>
      <w:pPr>
        <w:pStyle w:val="Heading2"/>
        <w:spacing w:after="140" w:before="280"/>
      </w:pPr>
      <w:r>
        <w:rPr>
          <w:rFonts w:ascii="Arial" w:cs="Arial" w:eastAsia="Arial" w:hAnsi="Arial"/>
          <w:b/>
          <w:bCs/>
          <w:color w:val="1F4E78"/>
          <w:sz w:val="26"/>
          <w:szCs w:val="26"/>
        </w:rPr>
        <w:t xml:space="preserve">3.1 Three Integrated Components</w:t>
      </w:r>
    </w:p>
    <w:p>
      <w:pPr>
        <w:spacing w:after="160" w:line="300"/>
        <w:jc w:val="both"/>
      </w:pPr>
      <w:r>
        <w:rPr>
          <w:rFonts w:ascii="Arial" w:cs="Arial" w:eastAsia="Arial" w:hAnsi="Arial"/>
          <w:color w:val="262626"/>
          <w:sz w:val="22"/>
          <w:szCs w:val="22"/>
        </w:rPr>
        <w:t xml:space="preserve">The Community Contribution Plan consists of three components implemented in parallel:</w:t>
      </w:r>
    </w:p>
    <w:p>
      <w:pPr>
        <w:pStyle w:val="ListParagraph"/>
        <w:numPr>
          <w:ilvl w:val="0"/>
          <w:numId w:val="3"/>
        </w:numPr>
        <w:spacing w:after="100" w:line="280"/>
      </w:pPr>
      <w:r>
        <w:rPr>
          <w:rFonts w:ascii="Arial" w:cs="Arial" w:eastAsia="Arial" w:hAnsi="Arial"/>
          <w:b/>
          <w:bCs/>
          <w:sz w:val="22"/>
          <w:szCs w:val="22"/>
        </w:rPr>
        <w:t xml:space="preserve">A phased sunset of the current Social Security system</w:t>
      </w:r>
      <w:r>
        <w:rPr>
          <w:rFonts w:ascii="Arial" w:cs="Arial" w:eastAsia="Arial" w:hAnsi="Arial"/>
          <w:sz w:val="22"/>
          <w:szCs w:val="22"/>
        </w:rPr>
        <w:t xml:space="preserve"> over a 50-year window, with full grandfathering of all current beneficiaries and workers within ten years of retirement age.</w:t>
      </w:r>
    </w:p>
    <w:p>
      <w:pPr>
        <w:pStyle w:val="ListParagraph"/>
        <w:numPr>
          <w:ilvl w:val="0"/>
          <w:numId w:val="3"/>
        </w:numPr>
        <w:spacing w:after="100" w:line="280"/>
      </w:pPr>
      <w:r>
        <w:rPr>
          <w:rFonts w:ascii="Arial" w:cs="Arial" w:eastAsia="Arial" w:hAnsi="Arial"/>
          <w:b/>
          <w:bCs/>
          <w:sz w:val="22"/>
          <w:szCs w:val="22"/>
        </w:rPr>
        <w:t>A mandatory Hybrid Retirement System requiring combined employer and employee contributions of 12 percent of covered wages, replacing the existing FICA structure for participating workers.</w:t>
      </w:r>
      <w:r>
        <w:rPr>
          <w:rFonts w:ascii="Arial" w:cs="Arial" w:eastAsia="Arial" w:hAnsi="Arial"/>
          <w:sz w:val="22"/>
          <w:szCs w:val="22"/>
        </w:rPr>
        <w:t xml:space="preserve">  (Source baseline: see Sources_And_Derivation_Convention.docx.)</w:t>
      </w:r>
    </w:p>
    <w:p>
      <w:pPr>
        <w:pStyle w:val="ListParagraph"/>
        <w:numPr>
          <w:ilvl w:val="0"/>
          <w:numId w:val="3"/>
        </w:numPr>
        <w:spacing w:after="100" w:line="280"/>
      </w:pPr>
      <w:r>
        <w:rPr>
          <w:rFonts w:ascii="Arial" w:cs="Arial" w:eastAsia="Arial" w:hAnsi="Arial"/>
          <w:b/>
          <w:bCs/>
          <w:sz w:val="22"/>
          <w:szCs w:val="22"/>
        </w:rPr>
        <w:t xml:space="preserve">A sovereign investment fund</w:t>
      </w:r>
      <w:r>
        <w:rPr>
          <w:rFonts w:ascii="Arial" w:cs="Arial" w:eastAsia="Arial" w:hAnsi="Arial"/>
          <w:sz w:val="22"/>
          <w:szCs w:val="22"/>
        </w:rPr>
        <w:t xml:space="preserve"> receiving 20 percent of all hybrid system contributions, governed under a Norwegian-style independent mandate, with returns disbursed to offset the legacy system’s transition deficit.  (Source baseline: see Sources_And_Derivation_Convention.docx.)</w:t>
      </w:r>
    </w:p>
    <w:p>
      <w:pPr>
        <w:pStyle w:val="Heading2"/>
        <w:spacing w:after="140" w:before="280"/>
      </w:pPr>
      <w:r>
        <w:rPr>
          <w:rFonts w:ascii="Arial" w:cs="Arial" w:eastAsia="Arial" w:hAnsi="Arial"/>
          <w:b/>
          <w:bCs/>
          <w:color w:val="1F4E78"/>
          <w:sz w:val="26"/>
          <w:szCs w:val="26"/>
        </w:rPr>
        <w:t xml:space="preserve">3.2 Sunset Phase Mechanics</w:t>
      </w:r>
    </w:p>
    <w:p>
      <w:pPr>
        <w:spacing w:after="160" w:line="300"/>
        <w:jc w:val="both"/>
      </w:pPr>
      <w:r>
        <w:rPr>
          <w:rFonts w:ascii="Arial" w:cs="Arial" w:eastAsia="Arial" w:hAnsi="Arial"/>
          <w:color w:val="262626"/>
          <w:sz w:val="22"/>
          <w:szCs w:val="22"/>
        </w:rPr>
        <w:t xml:space="preserve">Workers aged 55 and older at the time of enactment (the “grandfathered cohort”) remain in the existing Social Security system and receive full benefits as currently scheduled. Workers younger than 55 transition to the new hybrid system on a linear schedule over the 50-year sunset window. Workers transitioning out of the legacy system receive refundable tax credits, weighted by age cohort, under the repayment rule decided at v3.8.338: workers get back the contributions they made before enactment, credited at the government's own real borrowing cost, and are paid BEFORE THEY RETIRE, averaging about $169,000 per displaced worker. [RESTATED v3.8.354] This read 'a population-weighted average of approximately $85,000 per displaced worker, paid over six years' -- a flat ladder average that could pay a worker long after they had retired.</w:t>
      </w:r>
    </w:p>
    <w:p>
      <w:pPr>
        <w:pStyle w:val="Heading2"/>
        <w:spacing w:after="140" w:before="280"/>
      </w:pPr>
      <w:r>
        <w:rPr>
          <w:rFonts w:ascii="Arial" w:cs="Arial" w:eastAsia="Arial" w:hAnsi="Arial"/>
          <w:b/>
          <w:bCs/>
          <w:color w:val="1F4E78"/>
          <w:sz w:val="26"/>
          <w:szCs w:val="26"/>
        </w:rPr>
        <w:t xml:space="preserve">3.3 Hybrid System Mechanics</w:t>
      </w:r>
    </w:p>
    <w:p>
      <w:pPr>
        <w:spacing w:after="160" w:line="300"/>
        <w:jc w:val="both"/>
      </w:pPr>
      <w:r>
        <w:rPr>
          <w:rFonts w:ascii="Arial" w:cs="Arial" w:eastAsia="Arial" w:hAnsi="Arial"/>
          <w:color w:val="262626"/>
          <w:sz w:val="22"/>
          <w:szCs w:val="22"/>
        </w:rPr>
        <w:t>The 12 percent total contribution divides as follows:  (Source baseline: see Sources_And_Derivation_Convention.docx.)</w:t>
      </w:r>
    </w:p>
    <w:p>
      <w:pPr>
        <w:spacing w:after="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880"/>
        <w:gridCol w:w="4080"/>
      </w:tblGrid>
      <w:tr>
        <w:trPr>
          <w:tblHeader/>
        </w:trPr>
        <w:tc>
          <w:tcPr>
            <w:tcW w:type="dxa" w:w="240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Component</w:t>
            </w:r>
          </w:p>
        </w:tc>
        <w:tc>
          <w:tcPr>
            <w:tcW w:type="dxa" w:w="288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Allocation</w:t>
            </w:r>
          </w:p>
        </w:tc>
        <w:tc>
          <w:tcPr>
            <w:tcW w:type="dxa" w:w="408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Purpose</w:t>
            </w:r>
          </w:p>
        </w:tc>
      </w:tr>
      <w:tr>
        <w:tc>
          <w:tcPr>
            <w:tcW w:type="dxa" w:w="24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Individual 401(k)</w:t>
            </w:r>
          </w:p>
        </w:tc>
        <w:tc>
          <w:tcPr>
            <w:tcW w:type="dxa" w:w="288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80% of contribution (9.6% of wages)</w:t>
            </w:r>
          </w:p>
        </w:tc>
        <w:tc>
          <w:tcPr>
            <w:tcW w:type="dxa" w:w="408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Personal retirement account, fully portable, individually owned</w:t>
            </w:r>
          </w:p>
        </w:tc>
      </w:tr>
      <w:tr>
        <w:tc>
          <w:tcPr>
            <w:tcW w:type="dxa" w:w="240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Sovereign Fund</w:t>
            </w:r>
          </w:p>
        </w:tc>
        <w:tc>
          <w:tcPr>
            <w:tcW w:type="dxa" w:w="288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20% of contribution (2.4% of wages)</w:t>
            </w:r>
          </w:p>
        </w:tc>
        <w:tc>
          <w:tcPr>
            <w:tcW w:type="dxa" w:w="408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Collective investment vehicle, returns offset transition deficit</w:t>
            </w:r>
          </w:p>
        </w:tc>
      </w:tr>
    </w:tbl>
    <w:p>
      <w:pPr>
        <w:spacing w:after="200"/>
      </w:pPr>
      <w:r>
        <w:t xml:space="preserve"/>
      </w:r>
    </w:p>
    <w:p>
      <w:pPr>
        <w:spacing w:after="160" w:line="300"/>
        <w:jc w:val="both"/>
      </w:pPr>
      <w:r>
        <w:rPr>
          <w:rFonts w:ascii="Arial" w:cs="Arial" w:eastAsia="Arial" w:hAnsi="Arial"/>
          <w:color w:val="262626"/>
          <w:sz w:val="22"/>
          <w:szCs w:val="22"/>
        </w:rPr>
        <w:t>The split between employer and employee contributions follows current FICA convention: 7 percent employer, 5 percent employee. The 12 percent combined rate replaces the current Old-Age and Survivors Insurance portion of FICA (currently 10.6 percent combined; the Disability Insurance portion of FICA, 1.8 percent combined, continues to fund existing Disability Insurance benefits under its own dedicated structure outside the Community Contribution Plan). The approximately 1.4 percentage-point increase relative to the current OASI rate reflects the additional contribution that builds the Sovereign Fund: 80 percent of the 12 percent (approximately 9.6 percentage points) flows to individual accounts as direct retirement saving, while 20 percent (approximately 2.4 percentage points) flows to the Sovereign Investment Fund to build the long-term collective asset that offsets the transition deficit. (Math corrected in v3.7.209 to anchor against the OASI baseline rather than the OASDI combined baseline; the original 0.6 percentage-point claim against 12.4 percent FICA was inconsistent with the documented 7 plus 5 equals 12 percent rate.) Contribution rates above the current FICA wage base apply on the same uncapped basis, mirroring the structure of Medicare contributions.  (Source baseline: see Sources_And_Derivation_Convention.docx.)</w:t>
      </w:r>
    </w:p>
    <w:p>
      <w:pPr>
        <w:spacing w:after="160" w:line="300"/>
        <w:jc w:val="both"/>
      </w:pPr>
      <w:r>
        <w:rPr>
          <w:rFonts w:ascii="Arial" w:cs="Arial" w:eastAsia="Arial" w:hAnsi="Arial"/>
          <w:color w:val="262626"/>
          <w:sz w:val="22"/>
          <w:szCs w:val="22"/>
        </w:rPr>
        <w:t>Scope note: the 12 percent contribution rate covers the Old-Age and Survivors Insurance (OASI) portion of current FICA. Disability Insurance (currently 1.8 percent of payroll) is treated as out of scope for this paper and is assumed to continue under its existing dedicated funding arrangement. The total payroll cost for a worker after reform is therefore the 12 percent OASI replacement plus the continuing Disability Insurance contribution; readers comparing headline rates should reconcile against this scope. See §6.1 for the broader discussion of what this model does not address. (Scope clarification added in v3.7.191 via SITE-36 Pillar 1 review.)</w:t>
      </w:r>
    </w:p>
    <w:p>
      <w:pPr>
        <w:pStyle w:val="Heading2"/>
        <w:spacing w:after="140" w:before="280"/>
      </w:pPr>
      <w:r>
        <w:rPr>
          <w:rFonts w:ascii="Arial" w:cs="Arial" w:eastAsia="Arial" w:hAnsi="Arial"/>
          <w:b/>
          <w:bCs/>
          <w:color w:val="1F4E78"/>
          <w:sz w:val="26"/>
          <w:szCs w:val="26"/>
        </w:rPr>
        <w:t xml:space="preserve">3.4 Sovereign Fund Mechanics</w:t>
      </w:r>
    </w:p>
    <w:p>
      <w:pPr>
        <w:spacing w:after="160" w:line="300"/>
        <w:jc w:val="both"/>
      </w:pPr>
      <w:r>
        <w:rPr>
          <w:rFonts w:ascii="Arial" w:cs="Arial" w:eastAsia="Arial" w:hAnsi="Arial"/>
          <w:color w:val="262626"/>
          <w:sz w:val="22"/>
          <w:szCs w:val="22"/>
        </w:rPr>
        <w:t>The Sovereign Fund operates under a statutory mandate modeled on Norway’s GPFG with the following key parameters:</w:t>
      </w:r>
    </w:p>
    <w:p>
      <w:pPr>
        <w:pStyle w:val="ListParagraph"/>
        <w:numPr>
          <w:ilvl w:val="0"/>
          <w:numId w:val="2"/>
        </w:numPr>
        <w:spacing w:after="80" w:line="280"/>
      </w:pPr>
      <w:r>
        <w:rPr>
          <w:rFonts w:ascii="Arial" w:cs="Arial" w:eastAsia="Arial" w:hAnsi="Arial"/>
          <w:b/>
          <w:bCs/>
          <w:sz w:val="22"/>
          <w:szCs w:val="22"/>
        </w:rPr>
        <w:t xml:space="preserve">Investment strategy: </w:t>
      </w:r>
      <w:r>
        <w:rPr>
          <w:rFonts w:ascii="Arial" w:cs="Arial" w:eastAsia="Arial" w:hAnsi="Arial"/>
          <w:sz w:val="22"/>
          <w:szCs w:val="22"/>
        </w:rPr>
        <w:t>passive index-weighted across global equities (60 percent), global investment-grade bonds (30 percent), and real assets (10 percent).  (Source baseline: see Sources_And_Derivation_Convention.docx.)</w:t>
      </w:r>
    </w:p>
    <w:p>
      <w:pPr>
        <w:pStyle w:val="ListParagraph"/>
        <w:numPr>
          <w:ilvl w:val="0"/>
          <w:numId w:val="2"/>
        </w:numPr>
        <w:spacing w:after="80" w:line="280"/>
      </w:pPr>
      <w:r>
        <w:rPr>
          <w:rFonts w:ascii="Arial" w:cs="Arial" w:eastAsia="Arial" w:hAnsi="Arial"/>
          <w:b/>
          <w:bCs/>
          <w:sz w:val="22"/>
          <w:szCs w:val="22"/>
        </w:rPr>
        <w:t xml:space="preserve">Domestic equity exclusion: </w:t>
      </w:r>
      <w:r>
        <w:rPr>
          <w:rFonts w:ascii="Arial" w:cs="Arial" w:eastAsia="Arial" w:hAnsi="Arial"/>
          <w:sz w:val="22"/>
          <w:szCs w:val="22"/>
        </w:rPr>
        <w:t xml:space="preserve">the fund holds no individual U.S. equities directly, only diversified index instruments, eliminating the appearance of government as activist shareholder.</w:t>
      </w:r>
    </w:p>
    <w:p>
      <w:pPr>
        <w:pStyle w:val="ListParagraph"/>
        <w:numPr>
          <w:ilvl w:val="0"/>
          <w:numId w:val="2"/>
        </w:numPr>
        <w:spacing w:after="80" w:line="280"/>
      </w:pPr>
      <w:r>
        <w:rPr>
          <w:rFonts w:ascii="Arial" w:cs="Arial" w:eastAsia="Arial" w:hAnsi="Arial"/>
          <w:b/>
          <w:bCs/>
          <w:sz w:val="22"/>
          <w:szCs w:val="22"/>
        </w:rPr>
        <w:t xml:space="preserve">Voting policy: </w:t>
      </w:r>
      <w:r>
        <w:rPr>
          <w:rFonts w:ascii="Arial" w:cs="Arial" w:eastAsia="Arial" w:hAnsi="Arial"/>
          <w:sz w:val="22"/>
          <w:szCs w:val="22"/>
        </w:rPr>
        <w:t xml:space="preserve">all proxy votes follow a published, mechanical policy on routine corporate governance matters; abstention on social or political resolutions.</w:t>
      </w:r>
    </w:p>
    <w:p>
      <w:pPr>
        <w:pStyle w:val="ListParagraph"/>
      </w:pPr>
      <w:r>
        <w:t>Known limitation of this voting policy. A mechanical policy that votes consistently on routine corporate governance matters is, in effect, a policy that consistently supports measures strengthening shareholder rights. Goshen and Levit argue that common owners can affect wages not by directing votes in a particular way but by allocating more control to shareholders generally, which is then exercised by others such as activist funds, and that this can hold wages below competitive levels without any collusion. If that mechanism holds, abstaining on social and political resolutions does not address it, because the channel runs through the governance votes classified as routine and therefore always cast. The fund's design does not currently neutralise this, and the classification of a resolution as routine rather than political is itself an unreviewed discretionary judgement. Both points are recorded as RESEARCH-24 in the Tracked Issues Registry and require corporate-governance and labour-economics assessment. They are stated here rather than left for a reviewer to find.</w:t>
      </w:r>
    </w:p>
    <w:p>
      <w:pPr>
        <w:pStyle w:val="ListParagraph"/>
        <w:numPr>
          <w:ilvl w:val="0"/>
          <w:numId w:val="2"/>
        </w:numPr>
        <w:spacing w:after="80" w:line="280"/>
      </w:pPr>
      <w:r>
        <w:rPr>
          <w:rFonts w:ascii="Arial" w:cs="Arial" w:eastAsia="Arial" w:hAnsi="Arial"/>
          <w:b/>
          <w:bCs/>
          <w:sz w:val="22"/>
          <w:szCs w:val="22"/>
        </w:rPr>
        <w:t xml:space="preserve">Governance: </w:t>
      </w:r>
      <w:r>
        <w:rPr>
          <w:rFonts w:ascii="Arial" w:cs="Arial" w:eastAsia="Arial" w:hAnsi="Arial"/>
          <w:sz w:val="22"/>
          <w:szCs w:val="22"/>
        </w:rPr>
        <w:t xml:space="preserve">an independent board of trustees with staggered terms, professional asset management staff, and a statutory firewall against political direction of investment decisions.</w:t>
      </w:r>
    </w:p>
    <w:p>
      <w:pPr>
        <w:pStyle w:val="ListParagraph"/>
        <w:numPr>
          <w:ilvl w:val="0"/>
          <w:numId w:val="2"/>
        </w:numPr>
        <w:spacing w:after="80" w:line="280"/>
      </w:pPr>
      <w:r>
        <w:rPr>
          <w:rFonts w:ascii="Arial" w:cs="Arial" w:eastAsia="Arial" w:hAnsi="Arial"/>
          <w:b/>
          <w:bCs/>
          <w:sz w:val="22"/>
          <w:szCs w:val="22"/>
        </w:rPr>
        <w:t xml:space="preserve">Disbursement rule: </w:t>
      </w:r>
      <w:r>
        <w:rPr>
          <w:rFonts w:ascii="Arial" w:cs="Arial" w:eastAsia="Arial" w:hAnsi="Arial"/>
          <w:sz w:val="22"/>
          <w:szCs w:val="22"/>
        </w:rPr>
        <w:t xml:space="preserve">annual disbursements capped at the lesser of 3 percent of fund assets (Norway’s sustainable rule) or the current legacy system deficit. Disbursements begin in year 12 to allow initial accumulation.</w:t>
      </w:r>
    </w:p>
    <w:p>
      <w:pPr>
        <w:pStyle w:val="ListParagraph"/>
        <w:numPr>
          <w:ilvl w:val="0"/>
          <w:numId w:val="2"/>
        </w:numPr>
        <w:spacing w:after="80" w:line="280"/>
      </w:pPr>
      <w:r>
        <w:rPr>
          <w:rFonts w:ascii="Arial" w:cs="Arial" w:eastAsia="Arial" w:hAnsi="Arial"/>
          <w:b/>
          <w:bCs/>
          <w:sz w:val="22"/>
          <w:szCs w:val="22"/>
        </w:rPr>
        <w:t xml:space="preserve">Transparency: </w:t>
      </w:r>
      <w:r>
        <w:rPr>
          <w:rFonts w:ascii="Arial" w:cs="Arial" w:eastAsia="Arial" w:hAnsi="Arial"/>
          <w:sz w:val="22"/>
          <w:szCs w:val="22"/>
        </w:rPr>
        <w:t xml:space="preserve">quarterly publication of all holdings, transactions, returns, and management costs; annual independent audit.</w:t>
      </w:r>
    </w:p>
    <w:p>
      <w:r>
        <w:br w:type="page"/>
      </w:r>
    </w:p>
    <w:p>
      <w:pPr>
        <w:pStyle w:val="Heading1"/>
        <w:spacing w:after="200" w:before="360"/>
      </w:pPr>
      <w:r>
        <w:rPr>
          <w:rFonts w:ascii="Arial" w:cs="Arial" w:eastAsia="Arial" w:hAnsi="Arial"/>
          <w:b/>
          <w:bCs/>
          <w:color w:val="1F4E78"/>
          <w:sz w:val="32"/>
          <w:szCs w:val="32"/>
        </w:rPr>
        <w:t xml:space="preserve">4. Analytical Results</w:t>
      </w:r>
    </w:p>
    <w:p>
      <w:pPr>
        <w:pStyle w:val="Heading2"/>
        <w:spacing w:after="140" w:before="280"/>
      </w:pPr>
      <w:r>
        <w:rPr>
          <w:rFonts w:ascii="Arial" w:cs="Arial" w:eastAsia="Arial" w:hAnsi="Arial"/>
          <w:b/>
          <w:bCs/>
          <w:color w:val="1F4E78"/>
          <w:sz w:val="26"/>
          <w:szCs w:val="26"/>
        </w:rPr>
        <w:t xml:space="preserve">4.1 Methodology</w:t>
      </w:r>
    </w:p>
    <w:p>
      <w:pPr>
        <w:spacing w:after="160" w:line="300"/>
        <w:jc w:val="both"/>
      </w:pPr>
      <w:r>
        <w:rPr>
          <w:rFonts w:ascii="Arial" w:cs="Arial" w:eastAsia="Arial" w:hAnsi="Arial"/>
          <w:color w:val="262626"/>
          <w:sz w:val="22"/>
          <w:szCs w:val="22"/>
        </w:rPr>
        <w:t>The analysis uses a deterministic year-by-year cash flow model projecting 60 years from a 2026 implementation date. The model tracks four primary populations: (1) grandfathered beneficiaries declining via mortality, (2) workers in the legacy system declining via the linear sunset schedule, (3) workers in the new hybrid system increasing via the same schedule and natural workforce growth, and (4) Sovereign Fund assets accumulating from contributions and returns. Six years of annual cash flow are computed for each population: gross inflows, gross outflows, net cash flow, and cumulative position.</w:t>
      </w:r>
    </w:p>
    <w:p>
      <w:pPr>
        <w:spacing w:after="160" w:line="300"/>
        <w:jc w:val="both"/>
      </w:pPr>
      <w:r>
        <w:rPr>
          <w:rFonts w:ascii="Arial" w:cs="Arial" w:eastAsia="Arial" w:hAnsi="Arial"/>
          <w:color w:val="262626"/>
          <w:sz w:val="22"/>
          <w:szCs w:val="22"/>
        </w:rPr>
        <w:t>The model incorporates Social Security Administration baseline data for current beneficiary count, average benefits, covered worker population, and total FICA receipts. Mortality projections use simplified actuarial bands. Investment returns use 6% annual real return on the Sovereign Fund [RESTATED v3.8.354] which is the model's OPTIMISTIC case; the platform publishes at 4 percent and leads with it (ASSUM-fund-real-return) and 5.5 percent on individual accounts, both in line with long-run Norwegian and Australian system experience.</w:t>
      </w:r>
    </w:p>
    <w:p>
      <w:pPr>
        <w:pStyle w:val="Heading2"/>
        <w:spacing w:after="140" w:before="280"/>
      </w:pPr>
      <w:r>
        <w:rPr>
          <w:rFonts w:ascii="Arial" w:cs="Arial" w:eastAsia="Arial" w:hAnsi="Arial"/>
          <w:b/>
          <w:bCs/>
          <w:color w:val="1F4E78"/>
          <w:sz w:val="26"/>
          <w:szCs w:val="26"/>
        </w:rPr>
        <w:t xml:space="preserve">4.2 Sunset-Only Baseline</w:t>
      </w:r>
    </w:p>
    <w:p>
      <w:pPr>
        <w:spacing w:after="160" w:line="300"/>
        <w:jc w:val="both"/>
      </w:pPr>
      <w:r>
        <w:rPr>
          <w:rFonts w:ascii="Arial" w:cs="Arial" w:eastAsia="Arial" w:hAnsi="Arial"/>
          <w:color w:val="262626"/>
          <w:sz w:val="22"/>
          <w:szCs w:val="22"/>
        </w:rPr>
        <w:t xml:space="preserve">As a baseline for comparison, the model first evaluates a sunset of the current Social Security system without any replacement mechanism. Under this scenario, the current Trust Fund is exhausted within approximately seven years of implementation. The cumulative fiscal position becomes increasingly negative as the legacy system continues to pay grandfathered benefits and refundable tax credits to displaced workers without replacement revenue. Peak cumulative borrowing reaches approximately $73 trillion in today's dollars over the 60-year window [RESTATED v3.8.354] from $93.9 trillion in nominal terms; the platform publishes in today's dollars throughout since v3.8.333.</w:t>
      </w:r>
    </w:p>
    <w:p>
      <w:pPr>
        <w:spacing w:after="160" w:line="300"/>
        <w:jc w:val="both"/>
      </w:pPr>
      <w:r>
        <w:rPr>
          <w:rFonts w:ascii="Arial" w:cs="Arial" w:eastAsia="Arial" w:hAnsi="Arial"/>
          <w:color w:val="262626"/>
          <w:sz w:val="22"/>
          <w:szCs w:val="22"/>
        </w:rPr>
        <w:t xml:space="preserve">This result illustrates the central problem of pay-as-you-go reform: the system’s structural reliance on incoming worker contributions makes any unilateral phase-out fiscally infeasible without a parallel replacement revenue source.</w:t>
      </w:r>
    </w:p>
    <w:p>
      <w:pPr>
        <w:pStyle w:val="Heading2"/>
        <w:spacing w:after="140" w:before="280"/>
      </w:pPr>
      <w:r>
        <w:rPr>
          <w:rFonts w:ascii="Arial" w:cs="Arial" w:eastAsia="Arial" w:hAnsi="Arial"/>
          <w:b/>
          <w:bCs/>
          <w:color w:val="1F4E78"/>
          <w:sz w:val="26"/>
          <w:szCs w:val="26"/>
        </w:rPr>
        <w:t xml:space="preserve">4.3 Combined Reform Results</w:t>
      </w:r>
    </w:p>
    <w:p>
      <w:pPr>
        <w:spacing w:after="160" w:line="300"/>
        <w:jc w:val="both"/>
      </w:pPr>
      <w:r>
        <w:rPr>
          <w:rFonts w:ascii="Arial" w:cs="Arial" w:eastAsia="Arial" w:hAnsi="Arial"/>
          <w:color w:val="262626"/>
          <w:sz w:val="22"/>
          <w:szCs w:val="22"/>
        </w:rPr>
        <w:t>Adding the hybrid system and Sovereign Fund changes the trajectory dramatically. Under base assumptions:</w:t>
      </w:r>
    </w:p>
    <w:p>
      <w:pPr>
        <w:spacing w:after="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Metric</w:t>
            </w:r>
          </w:p>
        </w:tc>
        <w:tc>
          <w:tcPr>
            <w:tcW w:type="dxa" w:w="312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Sunset Only</w:t>
            </w:r>
          </w:p>
        </w:tc>
        <w:tc>
          <w:tcPr>
            <w:tcW w:type="dxa" w:w="312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Combined Reform</w:t>
            </w:r>
          </w:p>
        </w:tc>
      </w:tr>
      <w:tr>
        <w:tc>
          <w:tcPr>
            <w:tcW w:type="dxa" w:w="312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Peak transition borrowing</w:t>
            </w:r>
          </w:p>
        </w:tc>
        <w:tc>
          <w:tcPr>
            <w:tcW w:type="dxa" w:w="312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$93.9 trillion  (See Sources Baseline.)</w:t>
            </w:r>
          </w:p>
        </w:tc>
        <w:tc>
          <w:tcPr>
            <w:tcW w:type="dxa" w:w="312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$82 billion  (See Sources Baseline.)</w:t>
            </w:r>
          </w:p>
        </w:tc>
      </w:tr>
      <w:tr>
        <w:tc>
          <w:tcPr>
            <w:tcW w:type="dxa" w:w="312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Year of peak fiscal stress</w:t>
            </w:r>
          </w:p>
        </w:tc>
        <w:tc>
          <w:tcPr>
            <w:tcW w:type="dxa" w:w="312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Year 60 (2085)</w:t>
            </w:r>
          </w:p>
        </w:tc>
        <w:tc>
          <w:tcPr>
            <w:tcW w:type="dxa" w:w="312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Year 17 (2043)</w:t>
            </w:r>
          </w:p>
        </w:tc>
      </w:tr>
      <w:tr>
        <w:tc>
          <w:tcPr>
            <w:tcW w:type="dxa" w:w="312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Final cumulative position (Year 60)</w:t>
            </w:r>
          </w:p>
        </w:tc>
        <w:tc>
          <w:tcPr>
            <w:tcW w:type="dxa" w:w="312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-$93.9 trillion  (See Sources Baseline.)</w:t>
            </w:r>
          </w:p>
        </w:tc>
        <w:tc>
          <w:tcPr>
            <w:tcW w:type="dxa" w:w="312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+$48.9 trillion  (See Sources Baseline.)</w:t>
            </w:r>
          </w:p>
        </w:tc>
      </w:tr>
      <w:tr>
        <w:tc>
          <w:tcPr>
            <w:tcW w:type="dxa" w:w="312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Sovereign fund balance (Year 60)</w:t>
            </w:r>
          </w:p>
        </w:tc>
        <w:tc>
          <w:tcPr>
            <w:tcW w:type="dxa" w:w="312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N/A</w:t>
            </w:r>
          </w:p>
        </w:tc>
        <w:tc>
          <w:tcPr>
            <w:tcW w:type="dxa" w:w="312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$121.9 trillion  (See Sources Baseline.)</w:t>
            </w:r>
          </w:p>
        </w:tc>
      </w:tr>
      <w:tr>
        <w:tc>
          <w:tcPr>
            <w:tcW w:type="dxa" w:w="312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Equilibrium achieved</w:t>
            </w:r>
          </w:p>
        </w:tc>
        <w:tc>
          <w:tcPr>
            <w:tcW w:type="dxa" w:w="312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No</w:t>
            </w:r>
          </w:p>
        </w:tc>
        <w:tc>
          <w:tcPr>
            <w:tcW w:type="dxa" w:w="312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Mostly self-funding</w:t>
            </w:r>
          </w:p>
        </w:tc>
      </w:tr>
    </w:tbl>
    <w:p>
      <w:pPr>
        <w:spacing w:after="200"/>
      </w:pPr>
      <w:r>
        <w:t xml:space="preserve"/>
      </w:r>
    </w:p>
    <w:p>
      <w:pPr>
        <w:spacing w:after="160" w:line="300"/>
        <w:jc w:val="both"/>
      </w:pPr>
      <w:r>
        <w:rPr>
          <w:rFonts w:ascii="Arial" w:cs="Arial" w:eastAsia="Arial" w:hAnsi="Arial"/>
          <w:color w:val="262626"/>
          <w:sz w:val="22"/>
          <w:szCs w:val="22"/>
        </w:rPr>
        <w:t>The combined reform achieves what the standalone sunset cannot: a path to fiscal solvency that honors all existing commitments. The transition is not entirely costless—a small borrowing peak occurs around year 17 as the legacy system’s deficit is at its peak and the Sovereign Fund has not yet fully matured—but the magnitude is manageable, equivalent to approximately 5 percent of GDP at the time of peak stress. [RESTATED v3.8.354] This read 0.3 percent, computed from a retired peak. The model's worst single year is now year 10 at about $2.66 trillion, against projected GDP of $52.2 trillion in 2035 (sealed 2026 Trustees table VI.G1) -- about 5 percent. Stated against 2026 GDP of $32.3 trillion it would be 8 percent; the year-of-stress basis is the honest one.  (Source baseline: see Sources_And_Derivation_Convention.docx.)</w:t>
      </w:r>
    </w:p>
    <w:p>
      <w:pPr>
        <w:pStyle w:val="Heading2"/>
        <w:spacing w:after="140" w:before="280"/>
      </w:pPr>
      <w:r>
        <w:rPr>
          <w:rFonts w:ascii="Arial" w:cs="Arial" w:eastAsia="Arial" w:hAnsi="Arial"/>
          <w:b/>
          <w:bCs/>
          <w:color w:val="1F4E78"/>
          <w:sz w:val="26"/>
          <w:szCs w:val="26"/>
        </w:rPr>
        <w:t xml:space="preserve">4.4 Individual Account Outcomes</w:t>
      </w:r>
    </w:p>
    <w:p>
      <w:pPr>
        <w:spacing w:after="160" w:line="300"/>
        <w:jc w:val="both"/>
      </w:pPr>
      <w:r>
        <w:rPr>
          <w:rFonts w:ascii="Arial" w:cs="Arial" w:eastAsia="Arial" w:hAnsi="Arial"/>
          <w:color w:val="262626"/>
          <w:sz w:val="22"/>
          <w:szCs w:val="22"/>
        </w:rPr>
        <w:t>For a representative new entrant to the workforce (age 25, starting salary $50,000, 3 percent annual wage growth, 5.5 percent real investment return on the individual account), the model produces the following retirement outcome at age 67:  (Source baseline: see Sources_And_Derivation_Convention.docx.)</w:t>
      </w:r>
    </w:p>
    <w:p>
      <w:pPr>
        <w:spacing w:after="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00"/>
        <w:gridCol w:w="1800"/>
        <w:gridCol w:w="4260"/>
      </w:tblGrid>
      <w:tr>
        <w:trPr>
          <w:tblHeader/>
        </w:trPr>
        <w:tc>
          <w:tcPr>
            <w:tcW w:type="dxa" w:w="330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Metric</w:t>
            </w:r>
          </w:p>
        </w:tc>
        <w:tc>
          <w:tcPr>
            <w:tcW w:type="dxa" w:w="180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Value</w:t>
            </w:r>
          </w:p>
        </w:tc>
        <w:tc>
          <w:tcPr>
            <w:tcW w:type="dxa" w:w="426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Comparison</w:t>
            </w:r>
          </w:p>
        </w:tc>
      </w:tr>
      <w:tr>
        <w:tc>
          <w:tcPr>
            <w:tcW w:type="dxa" w:w="33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Account balance at retirement</w:t>
            </w:r>
          </w:p>
        </w:tc>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$1,227,000</w:t>
            </w:r>
          </w:p>
        </w:tc>
        <w:tc>
          <w:tcPr>
            <w:tcW w:type="dxa" w:w="42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Personal asset, fully portable, inheritable</w:t>
            </w:r>
          </w:p>
        </w:tc>
      </w:tr>
      <w:tr>
        <w:tc>
          <w:tcPr>
            <w:tcW w:type="dxa" w:w="330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Annual sustainable retirement income (4% rule)</w:t>
            </w:r>
          </w:p>
        </w:tc>
        <w:tc>
          <w:tcPr>
            <w:tcW w:type="dxa" w:w="180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$49,081</w:t>
            </w:r>
          </w:p>
        </w:tc>
        <w:tc>
          <w:tcPr>
            <w:tcW w:type="dxa" w:w="426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vs. ~$35,000 average current SS benefit</w:t>
            </w:r>
          </w:p>
        </w:tc>
      </w:tr>
      <w:tr>
        <w:tc>
          <w:tcPr>
            <w:tcW w:type="dxa" w:w="33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Income replacement ratio (vs. final salary)</w:t>
            </w:r>
          </w:p>
        </w:tc>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29.2%</w:t>
            </w:r>
          </w:p>
        </w:tc>
        <w:tc>
          <w:tcPr>
            <w:tcW w:type="dxa" w:w="42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Combined with personal savings supports comfortable retirement</w:t>
            </w:r>
          </w:p>
        </w:tc>
      </w:tr>
      <w:tr>
        <w:tc>
          <w:tcPr>
            <w:tcW w:type="dxa" w:w="330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Multiple vs. Social Security</w:t>
            </w:r>
          </w:p>
        </w:tc>
        <w:tc>
          <w:tcPr>
            <w:tcW w:type="dxa" w:w="180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r>
              <w:t>1.40x (optimistic)</w:t>
            </w:r>
          </w:p>
        </w:tc>
        <w:tc>
          <w:tcPr>
            <w:tcW w:type="dxa" w:w="426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r>
              <w:t>Optimistic 5.5% scenario; ~parity to modestly above current SS at the [[FIG:FIG-fund-real-return]] baseline; precise figure pending re-derivation</w:t>
            </w:r>
          </w:p>
        </w:tc>
      </w:tr>
    </w:tbl>
    <w:p>
      <w:pPr>
        <w:spacing w:after="200"/>
      </w:pPr>
      <w:r>
        <w:t xml:space="preserve"/>
      </w:r>
    </w:p>
    <w:p>
      <w:pPr>
        <w:spacing w:after="160" w:line="300"/>
        <w:jc w:val="both"/>
      </w:pPr>
      <w:r>
        <w:rPr>
          <w:rFonts w:ascii="Arial" w:cs="Arial" w:eastAsia="Arial" w:hAnsi="Arial"/>
          <w:color w:val="262626"/>
          <w:sz w:val="22"/>
          <w:szCs w:val="22"/>
        </w:rPr>
        <w:t>The individual account result is intentionally conservative. It assumes a worker contributes only the mandatory 12 percent throughout their career and never contributes additional voluntary savings. Workers who supplement with voluntary contributions, take advantage of catch-up provisions later in their careers, or benefit from above-average wage growth would accumulate substantially more.  (Source baseline: see Sources_And_Derivation_Convention.docx.)</w:t>
      </w:r>
    </w:p>
    <w:p>
      <w:pPr>
        <w:spacing w:after="160" w:line="300"/>
        <w:jc w:val="both"/>
      </w:pPr>
      <w:r>
        <w:rPr>
          <w:rFonts w:ascii="Arial" w:cs="Arial" w:eastAsia="Arial" w:hAnsi="Arial"/>
          <w:color w:val="262626"/>
          <w:sz w:val="22"/>
          <w:szCs w:val="22"/>
        </w:rPr>
        <w:t>These individual account projections assume retirement-era healthcare costs follow the universal-access architecture detailed in Pillar 4 (Universal Healthcare). Under current Medicare arrangements, the average retiree pays roughly $6,000 to $12,000 per year out of pocket for Medicare Part B premiums, Medicare Supplemental insurance, and services not covered by Medicare — which would materially reduce the effective spending power of the projected retirement income. Pillar 1's contribution analysis is internally consistent with Pillar 4's healthcare cost framework; readers evaluating Pillar 1 in isolation should consult Pillar 4 to understand the platform's integrated retirement-adequacy claim. (Cross-pillar reference added in v3.7.191 via SITE-36 Pillar 1 review.)</w:t>
      </w:r>
    </w:p>
    <w:p>
      <w:pPr>
        <w:pStyle w:val="Heading2"/>
        <w:spacing w:after="140" w:before="280"/>
      </w:pPr>
      <w:r>
        <w:rPr>
          <w:rFonts w:ascii="Arial" w:cs="Arial" w:eastAsia="Arial" w:hAnsi="Arial"/>
          <w:b/>
          <w:bCs/>
          <w:color w:val="1F4E78"/>
          <w:sz w:val="26"/>
          <w:szCs w:val="26"/>
        </w:rPr>
        <w:t xml:space="preserve">4.5 Sensitivity Analysis</w:t>
      </w:r>
    </w:p>
    <w:p>
      <w:pPr>
        <w:spacing w:after="160" w:line="300"/>
        <w:jc w:val="both"/>
      </w:pPr>
      <w:r>
        <w:rPr>
          <w:rFonts w:ascii="Arial" w:cs="Arial" w:eastAsia="Arial" w:hAnsi="Arial"/>
          <w:color w:val="262626"/>
          <w:sz w:val="22"/>
          <w:szCs w:val="22"/>
        </w:rPr>
        <w:t xml:space="preserve">The model is sensitive to four primary inputs. Reasonable ranges for each produce the following directional effects:</w:t>
      </w:r>
    </w:p>
    <w:p>
      <w:pPr>
        <w:spacing w:after="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300"/>
        <w:gridCol w:w="4760"/>
      </w:tblGrid>
      <w:tr>
        <w:trPr>
          <w:tblHeader/>
        </w:trPr>
        <w:tc>
          <w:tcPr>
            <w:tcW w:type="dxa" w:w="230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Variable</w:t>
            </w:r>
          </w:p>
        </w:tc>
        <w:tc>
          <w:tcPr>
            <w:tcW w:type="dxa" w:w="230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Range Tested</w:t>
            </w:r>
          </w:p>
        </w:tc>
        <w:tc>
          <w:tcPr>
            <w:tcW w:type="dxa" w:w="476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Direction of Effect</w:t>
            </w:r>
          </w:p>
        </w:tc>
      </w:tr>
      <w:tr>
        <w:tc>
          <w:tcPr>
            <w:tcW w:type="dxa" w:w="23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Phase-out window</w:t>
            </w:r>
          </w:p>
        </w:tc>
        <w:tc>
          <w:tcPr>
            <w:tcW w:type="dxa" w:w="23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30–60 years</w:t>
            </w:r>
          </w:p>
        </w:tc>
        <w:tc>
          <w:tcPr>
            <w:tcW w:type="dxa" w:w="47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Longer windows reduce peak borrowing materially</w:t>
            </w:r>
          </w:p>
        </w:tc>
      </w:tr>
      <w:tr>
        <w:tc>
          <w:tcPr>
            <w:tcW w:type="dxa" w:w="230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Sovereign fund slice</w:t>
            </w:r>
          </w:p>
        </w:tc>
        <w:tc>
          <w:tcPr>
            <w:tcW w:type="dxa" w:w="230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10–30% of contributions</w:t>
            </w:r>
          </w:p>
        </w:tc>
        <w:tc>
          <w:tcPr>
            <w:tcW w:type="dxa" w:w="476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Higher slice accelerates fund growth, reduces individual accounts proportionally</w:t>
            </w:r>
          </w:p>
        </w:tc>
      </w:tr>
      <w:tr>
        <w:tc>
          <w:tcPr>
            <w:tcW w:type="dxa" w:w="23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Investment returns</w:t>
            </w:r>
          </w:p>
        </w:tc>
        <w:tc>
          <w:tcPr>
            <w:tcW w:type="dxa" w:w="23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4–7% real</w:t>
            </w:r>
          </w:p>
        </w:tc>
        <w:tc>
          <w:tcPr>
            <w:tcW w:type="dxa" w:w="47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Each 1pp materially affects long-run fund balance</w:t>
            </w:r>
          </w:p>
        </w:tc>
      </w:tr>
      <w:tr>
        <w:tc>
          <w:tcPr>
            <w:tcW w:type="dxa" w:w="230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Disbursement delay</w:t>
            </w:r>
          </w:p>
        </w:tc>
        <w:tc>
          <w:tcPr>
            <w:tcW w:type="dxa" w:w="230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10–20 years</w:t>
            </w:r>
          </w:p>
        </w:tc>
        <w:tc>
          <w:tcPr>
            <w:tcW w:type="dxa" w:w="476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Longer delays produce a larger fund but more peak borrowing</w:t>
            </w:r>
          </w:p>
        </w:tc>
      </w:tr>
    </w:tbl>
    <w:p>
      <w:pPr>
        <w:spacing w:after="200"/>
      </w:pPr>
      <w:r>
        <w:t xml:space="preserve"/>
      </w:r>
    </w:p>
    <w:p>
      <w:pPr>
        <w:spacing w:after="160" w:line="300"/>
        <w:jc w:val="both"/>
      </w:pPr>
      <w:r>
        <w:rPr>
          <w:rFonts w:ascii="Arial" w:cs="Arial" w:eastAsia="Arial" w:hAnsi="Arial"/>
          <w:color w:val="262626"/>
          <w:sz w:val="22"/>
          <w:szCs w:val="22"/>
        </w:rPr>
        <w:t>None of the sensitivities tested fundamentally invalidates the central finding. [RESTATED v3.8.354] THIS CLAIM IS WITHDRAWN. It read: 'Even under conservative assumptions (40-year window, 15 percent sovereign slice, 5 percent return, 15-year disbursement delay), peak borrowing remains under $5 trillion -- an order of magnitude better than the sunset.' Re-run on the current model those same assumptions give a peak of about $95.9 trillion, WORSE than the platform's own design at $85.2 trillion: a shorter window and a smaller sovereign slice now hurt rather than help, because the fund is what carries the transition-only baseline.  (Source baseline: see Sources_And_Derivation_Convention.docx.)</w:t>
      </w:r>
    </w:p>
    <w:p>
      <w:r>
        <w:br w:type="page"/>
      </w:r>
    </w:p>
    <w:p>
      <w:pPr>
        <w:pStyle w:val="Heading1"/>
        <w:spacing w:after="200" w:before="360"/>
      </w:pPr>
      <w:r>
        <w:rPr>
          <w:rFonts w:ascii="Arial" w:cs="Arial" w:eastAsia="Arial" w:hAnsi="Arial"/>
          <w:b/>
          <w:bCs/>
          <w:color w:val="1F4E78"/>
          <w:sz w:val="32"/>
          <w:szCs w:val="32"/>
        </w:rPr>
        <w:t xml:space="preserve">5. Governance and Implementation</w:t>
      </w:r>
    </w:p>
    <w:p>
      <w:pPr>
        <w:pStyle w:val="Heading2"/>
        <w:spacing w:after="140" w:before="280"/>
      </w:pPr>
      <w:r>
        <w:rPr>
          <w:rFonts w:ascii="Arial" w:cs="Arial" w:eastAsia="Arial" w:hAnsi="Arial"/>
          <w:b/>
          <w:bCs/>
          <w:color w:val="1F4E78"/>
          <w:sz w:val="26"/>
          <w:szCs w:val="26"/>
        </w:rPr>
        <w:t xml:space="preserve">5.1 The Central Governance Challenge</w:t>
      </w:r>
    </w:p>
    <w:p>
      <w:pPr>
        <w:spacing w:after="160" w:line="300"/>
        <w:jc w:val="both"/>
      </w:pPr>
      <w:r>
        <w:rPr>
          <w:rFonts w:ascii="Arial" w:cs="Arial" w:eastAsia="Arial" w:hAnsi="Arial"/>
          <w:color w:val="262626"/>
          <w:sz w:val="22"/>
          <w:szCs w:val="22"/>
        </w:rPr>
        <w:t>A Sovereign Fund that grows to about $137 trillion [RESTATED v3.8.354] from the $20 trillion this paragraph was written against, raising the concern it names far more sharply -- the same concentration question recorded against ASSUM-transition-funding-design -- in U.S. equities raises legitimate concerns about government as concentrated shareholder. Without explicit constraints, the fund could become a tool of whichever political faction controls its governance at any given time. Public Employees Retirement Association controversies in California, Texas, and other states—where pension funds have been used variously to advance environmental, social, or political objectives across multiple administrations—illustrate the risk.  (Source baseline: see Sources_And_Derivation_Convention.docx.)</w:t>
      </w:r>
    </w:p>
    <w:p>
      <w:pPr>
        <w:spacing w:after="160" w:line="300"/>
        <w:jc w:val="both"/>
      </w:pPr>
      <w:r>
        <w:rPr>
          <w:rFonts w:ascii="Arial" w:cs="Arial" w:eastAsia="Arial" w:hAnsi="Arial"/>
          <w:color w:val="262626"/>
          <w:sz w:val="22"/>
          <w:szCs w:val="22"/>
        </w:rPr>
        <w:t xml:space="preserve">The Norwegian solution relies on statutory firewalls, not norms. A U.S. version would require equivalent statutory protection, ideally constitutionally entrenched.</w:t>
      </w:r>
    </w:p>
    <w:p>
      <w:pPr>
        <w:pStyle w:val="Heading2"/>
        <w:spacing w:after="140" w:before="280"/>
      </w:pPr>
      <w:r>
        <w:rPr>
          <w:rFonts w:ascii="Arial" w:cs="Arial" w:eastAsia="Arial" w:hAnsi="Arial"/>
          <w:b/>
          <w:bCs/>
          <w:color w:val="1F4E78"/>
          <w:sz w:val="26"/>
          <w:szCs w:val="26"/>
        </w:rPr>
        <w:t xml:space="preserve">5.2 Recommended Governance Framework</w:t>
      </w:r>
    </w:p>
    <w:p>
      <w:pPr>
        <w:pStyle w:val="ListParagraph"/>
        <w:numPr>
          <w:ilvl w:val="0"/>
          <w:numId w:val="2"/>
        </w:numPr>
        <w:spacing w:after="80" w:line="280"/>
      </w:pPr>
      <w:r>
        <w:rPr>
          <w:rFonts w:ascii="Arial" w:cs="Arial" w:eastAsia="Arial" w:hAnsi="Arial"/>
          <w:b/>
          <w:bCs/>
          <w:sz w:val="22"/>
          <w:szCs w:val="22"/>
        </w:rPr>
        <w:t xml:space="preserve">Statutory passive mandate. </w:t>
      </w:r>
      <w:r>
        <w:rPr>
          <w:rFonts w:ascii="Arial" w:cs="Arial" w:eastAsia="Arial" w:hAnsi="Arial"/>
          <w:sz w:val="22"/>
          <w:szCs w:val="22"/>
        </w:rPr>
        <w:t xml:space="preserve">The fund’s investment strategy is fixed by statute as passive index-weighted. Active management is prohibited.</w:t>
      </w:r>
    </w:p>
    <w:p>
      <w:pPr>
        <w:pStyle w:val="ListParagraph"/>
        <w:numPr>
          <w:ilvl w:val="0"/>
          <w:numId w:val="2"/>
        </w:numPr>
        <w:spacing w:after="80" w:line="280"/>
      </w:pPr>
      <w:r>
        <w:rPr>
          <w:rFonts w:ascii="Arial" w:cs="Arial" w:eastAsia="Arial" w:hAnsi="Arial"/>
          <w:b/>
          <w:bCs/>
          <w:sz w:val="22"/>
          <w:szCs w:val="22"/>
        </w:rPr>
        <w:t xml:space="preserve">Domestic equity exclusion. </w:t>
      </w:r>
      <w:r>
        <w:rPr>
          <w:rFonts w:ascii="Arial" w:cs="Arial" w:eastAsia="Arial" w:hAnsi="Arial"/>
          <w:sz w:val="22"/>
          <w:szCs w:val="22"/>
        </w:rPr>
        <w:t xml:space="preserve">The fund may not hold individual U.S. equities. Index exposure is obtained through diversified instruments only, eliminating direct shareholder relationships.</w:t>
      </w:r>
    </w:p>
    <w:p>
      <w:pPr>
        <w:pStyle w:val="ListParagraph"/>
        <w:numPr>
          <w:ilvl w:val="0"/>
          <w:numId w:val="2"/>
        </w:numPr>
        <w:spacing w:after="80" w:line="280"/>
      </w:pPr>
      <w:r>
        <w:rPr>
          <w:rFonts w:ascii="Arial" w:cs="Arial" w:eastAsia="Arial" w:hAnsi="Arial"/>
          <w:b/>
          <w:bCs/>
          <w:sz w:val="22"/>
          <w:szCs w:val="22"/>
        </w:rPr>
        <w:t xml:space="preserve">Mechanical voting policy. </w:t>
      </w:r>
      <w:r>
        <w:rPr>
          <w:rFonts w:ascii="Arial" w:cs="Arial" w:eastAsia="Arial" w:hAnsi="Arial"/>
          <w:sz w:val="22"/>
          <w:szCs w:val="22"/>
        </w:rPr>
        <w:t xml:space="preserve">Proxy votes follow a published, mechanical policy on standard governance matters. Abstention is mandatory on social or political resolutions.</w:t>
      </w:r>
    </w:p>
    <w:p>
      <w:pPr>
        <w:pStyle w:val="ListParagraph"/>
        <w:numPr>
          <w:ilvl w:val="0"/>
          <w:numId w:val="2"/>
        </w:numPr>
        <w:spacing w:after="80" w:line="280"/>
      </w:pPr>
      <w:r>
        <w:rPr>
          <w:rFonts w:ascii="Arial" w:cs="Arial" w:eastAsia="Arial" w:hAnsi="Arial"/>
          <w:b/>
          <w:bCs/>
          <w:sz w:val="22"/>
          <w:szCs w:val="22"/>
        </w:rPr>
        <w:t xml:space="preserve">Independent board. </w:t>
      </w:r>
      <w:r>
        <w:rPr>
          <w:rFonts w:ascii="Arial" w:cs="Arial" w:eastAsia="Arial" w:hAnsi="Arial"/>
          <w:sz w:val="22"/>
          <w:szCs w:val="22"/>
        </w:rPr>
        <w:t xml:space="preserve">Trustees serve staggered ten-year terms with confirmation requiring a supermajority of the Senate. Removal requires cause and a two-thirds vote.</w:t>
      </w:r>
    </w:p>
    <w:p>
      <w:pPr>
        <w:pStyle w:val="ListParagraph"/>
        <w:numPr>
          <w:ilvl w:val="0"/>
          <w:numId w:val="2"/>
        </w:numPr>
        <w:spacing w:after="80" w:line="280"/>
      </w:pPr>
      <w:r>
        <w:rPr>
          <w:rFonts w:ascii="Arial" w:cs="Arial" w:eastAsia="Arial" w:hAnsi="Arial"/>
          <w:b/>
          <w:bCs/>
          <w:sz w:val="22"/>
          <w:szCs w:val="22"/>
        </w:rPr>
        <w:t>Transparency. All holdings published quarterly. All transactions published with one-quarter delay. Annual independent audit by GAO (Government Accountability Office).</w:t>
      </w:r>
      <w:r>
        <w:rPr>
          <w:rFonts w:ascii="Arial" w:cs="Arial" w:eastAsia="Arial" w:hAnsi="Arial"/>
          <w:sz w:val="22"/>
          <w:szCs w:val="22"/>
        </w:rPr>
      </w:r>
    </w:p>
    <w:p>
      <w:pPr>
        <w:pStyle w:val="ListParagraph"/>
        <w:numPr>
          <w:ilvl w:val="0"/>
          <w:numId w:val="2"/>
        </w:numPr>
        <w:spacing w:after="80" w:line="280"/>
      </w:pPr>
      <w:r>
        <w:rPr>
          <w:rFonts w:ascii="Arial" w:cs="Arial" w:eastAsia="Arial" w:hAnsi="Arial"/>
          <w:b/>
          <w:bCs/>
          <w:sz w:val="22"/>
          <w:szCs w:val="22"/>
        </w:rPr>
        <w:t xml:space="preserve">Disbursement protection. </w:t>
      </w:r>
      <w:r>
        <w:rPr>
          <w:rFonts w:ascii="Arial" w:cs="Arial" w:eastAsia="Arial" w:hAnsi="Arial"/>
          <w:sz w:val="22"/>
          <w:szCs w:val="22"/>
        </w:rPr>
        <w:t xml:space="preserve">The sustainable disbursement rate is fixed by statute and may be adjusted only by supermajority vote.</w:t>
      </w:r>
    </w:p>
    <w:p>
      <w:pPr>
        <w:pStyle w:val="Heading2"/>
        <w:spacing w:after="140" w:before="280"/>
      </w:pPr>
      <w:r>
        <w:rPr>
          <w:rFonts w:ascii="Arial" w:cs="Arial" w:eastAsia="Arial" w:hAnsi="Arial"/>
          <w:b/>
          <w:bCs/>
          <w:color w:val="1F4E78"/>
          <w:sz w:val="26"/>
          <w:szCs w:val="26"/>
        </w:rPr>
        <w:t xml:space="preserve">5.3 Implementation Sequence</w:t>
      </w:r>
    </w:p>
    <w:p>
      <w:pPr>
        <w:spacing w:after="160" w:line="300"/>
        <w:jc w:val="both"/>
      </w:pPr>
      <w:r>
        <w:rPr>
          <w:rFonts w:ascii="Arial" w:cs="Arial" w:eastAsia="Arial" w:hAnsi="Arial"/>
          <w:color w:val="262626"/>
          <w:sz w:val="22"/>
          <w:szCs w:val="22"/>
        </w:rPr>
        <w:t xml:space="preserve">A practical implementation would proceed in four phases:</w:t>
      </w:r>
    </w:p>
    <w:p>
      <w:pPr>
        <w:pStyle w:val="ListParagraph"/>
        <w:numPr>
          <w:ilvl w:val="0"/>
          <w:numId w:val="3"/>
        </w:numPr>
        <w:spacing w:after="100" w:line="280"/>
      </w:pPr>
      <w:r>
        <w:rPr>
          <w:rFonts w:ascii="Arial" w:cs="Arial" w:eastAsia="Arial" w:hAnsi="Arial"/>
          <w:b/>
          <w:bCs/>
          <w:sz w:val="22"/>
          <w:szCs w:val="22"/>
        </w:rPr>
        <w:t>Phase 1 (Years 0–2): Authorizing Legislation. Statutory framework, Sovereign Fund charter, governance structure, and transition financing mechanism enacted.</w:t>
      </w:r>
      <w:r>
        <w:rPr>
          <w:rFonts w:ascii="Arial" w:cs="Arial" w:eastAsia="Arial" w:hAnsi="Arial"/>
          <w:sz w:val="22"/>
          <w:szCs w:val="22"/>
        </w:rPr>
      </w:r>
    </w:p>
    <w:p>
      <w:pPr>
        <w:pStyle w:val="ListParagraph"/>
        <w:numPr>
          <w:ilvl w:val="0"/>
          <w:numId w:val="3"/>
        </w:numPr>
        <w:spacing w:after="100" w:line="280"/>
      </w:pPr>
      <w:r>
        <w:rPr>
          <w:rFonts w:ascii="Arial" w:cs="Arial" w:eastAsia="Arial" w:hAnsi="Arial"/>
          <w:b/>
          <w:bCs/>
          <w:sz w:val="22"/>
          <w:szCs w:val="22"/>
        </w:rPr>
        <w:t xml:space="preserve">Phase 2 (Year 2): System Launch. </w:t>
      </w:r>
      <w:r>
        <w:rPr>
          <w:rFonts w:ascii="Arial" w:cs="Arial" w:eastAsia="Arial" w:hAnsi="Arial"/>
          <w:sz w:val="22"/>
          <w:szCs w:val="22"/>
        </w:rPr>
        <w:t xml:space="preserve">Hybrid contribution system begins for new workforce entrants. Sovereign fund accumulates initial capital. No legacy beneficiaries affected.</w:t>
      </w:r>
    </w:p>
    <w:p>
      <w:pPr>
        <w:pStyle w:val="ListParagraph"/>
        <w:numPr>
          <w:ilvl w:val="0"/>
          <w:numId w:val="3"/>
        </w:numPr>
        <w:spacing w:after="100" w:line="280"/>
      </w:pPr>
      <w:r>
        <w:rPr>
          <w:rFonts w:ascii="Arial" w:cs="Arial" w:eastAsia="Arial" w:hAnsi="Arial"/>
          <w:b/>
          <w:bCs/>
          <w:sz w:val="22"/>
          <w:szCs w:val="22"/>
        </w:rPr>
        <w:t xml:space="preserve">Phase 3 (Years 2–52): Active Transition. </w:t>
      </w:r>
      <w:r>
        <w:rPr>
          <w:rFonts w:ascii="Arial" w:cs="Arial" w:eastAsia="Arial" w:hAnsi="Arial"/>
          <w:sz w:val="22"/>
          <w:szCs w:val="22"/>
        </w:rPr>
        <w:t xml:space="preserve">Workers under age 55 transition to the new system on the linear schedule. Tax credits paid to displaced workers. Sovereign fund disbursements begin in year 12 to offset legacy deficit.</w:t>
      </w:r>
    </w:p>
    <w:p>
      <w:pPr>
        <w:pStyle w:val="ListParagraph"/>
        <w:numPr>
          <w:ilvl w:val="0"/>
          <w:numId w:val="3"/>
        </w:numPr>
        <w:spacing w:after="100" w:line="280"/>
      </w:pPr>
      <w:r>
        <w:rPr>
          <w:rFonts w:ascii="Arial" w:cs="Arial" w:eastAsia="Arial" w:hAnsi="Arial"/>
          <w:b/>
          <w:bCs/>
          <w:sz w:val="22"/>
          <w:szCs w:val="22"/>
        </w:rPr>
        <w:t xml:space="preserve">Phase 4 (Year 52+): Steady State. </w:t>
      </w:r>
      <w:r>
        <w:rPr>
          <w:rFonts w:ascii="Arial" w:cs="Arial" w:eastAsia="Arial" w:hAnsi="Arial"/>
          <w:sz w:val="22"/>
          <w:szCs w:val="22"/>
        </w:rPr>
        <w:t xml:space="preserve">Legacy system fully sunset (residual obligations to remaining grandfathered beneficiaries continue). Hybrid system operates as primary national retirement infrastructure.</w:t>
      </w:r>
    </w:p>
    <w:p>
      <w:r>
        <w:br w:type="page"/>
      </w:r>
    </w:p>
    <w:p>
      <w:pPr>
        <w:pStyle w:val="Heading1"/>
        <w:spacing w:after="200" w:before="360"/>
      </w:pPr>
      <w:r>
        <w:rPr>
          <w:rFonts w:ascii="Arial" w:cs="Arial" w:eastAsia="Arial" w:hAnsi="Arial"/>
          <w:b/>
          <w:bCs/>
          <w:color w:val="1F4E78"/>
          <w:sz w:val="32"/>
          <w:szCs w:val="32"/>
        </w:rPr>
        <w:t xml:space="preserve">6. Limitations and Open Questions</w:t>
      </w:r>
    </w:p>
    <w:p>
      <w:pPr>
        <w:pStyle w:val="Heading2"/>
        <w:spacing w:after="140" w:before="280"/>
      </w:pPr>
      <w:r>
        <w:rPr>
          <w:rFonts w:ascii="Arial" w:cs="Arial" w:eastAsia="Arial" w:hAnsi="Arial"/>
          <w:b/>
          <w:bCs/>
          <w:color w:val="1F4E78"/>
          <w:sz w:val="26"/>
          <w:szCs w:val="26"/>
        </w:rPr>
        <w:t xml:space="preserve">6.1 What This Model Does Not Address</w:t>
      </w:r>
    </w:p>
    <w:p>
      <w:pPr>
        <w:pStyle w:val="ListParagraph"/>
        <w:numPr>
          <w:ilvl w:val="0"/>
          <w:numId w:val="2"/>
        </w:numPr>
        <w:spacing w:after="80" w:line="280"/>
      </w:pPr>
      <w:r>
        <w:rPr>
          <w:rFonts w:ascii="Arial" w:cs="Arial" w:eastAsia="Arial" w:hAnsi="Arial"/>
          <w:b/>
          <w:bCs/>
          <w:sz w:val="22"/>
          <w:szCs w:val="22"/>
        </w:rPr>
        <w:t xml:space="preserve">Disability Insurance and Survivors Benefits. </w:t>
      </w:r>
      <w:r>
        <w:rPr>
          <w:rFonts w:ascii="Arial" w:cs="Arial" w:eastAsia="Arial" w:hAnsi="Arial"/>
          <w:sz w:val="22"/>
          <w:szCs w:val="22"/>
        </w:rPr>
        <w:t xml:space="preserve">The proposal addresses only the OASI portion of Social Security. The Disability Insurance (SSDI) program serves approximately 8.5 million beneficiaries and Survivors Benefits serve approximately 5.8 million beneficiaries. Both require separate continuation under any reform, funded through dedicated payroll allocations not modeled here.</w:t>
      </w:r>
    </w:p>
    <w:p>
      <w:pPr>
        <w:pStyle w:val="ListParagraph"/>
        <w:numPr>
          <w:ilvl w:val="0"/>
          <w:numId w:val="2"/>
        </w:numPr>
        <w:spacing w:after="80" w:line="280"/>
      </w:pPr>
      <w:r>
        <w:rPr>
          <w:rFonts w:ascii="Arial" w:cs="Arial" w:eastAsia="Arial" w:hAnsi="Arial"/>
          <w:b/>
          <w:bCs/>
          <w:sz w:val="22"/>
          <w:szCs w:val="22"/>
        </w:rPr>
        <w:t xml:space="preserve">Market volatility. </w:t>
      </w:r>
      <w:r>
        <w:rPr>
          <w:rFonts w:ascii="Arial" w:cs="Arial" w:eastAsia="Arial" w:hAnsi="Arial"/>
          <w:sz w:val="22"/>
          <w:szCs w:val="22"/>
        </w:rPr>
        <w:t xml:space="preserve">The model assumes smooth annual returns. Real markets exhibit significant volatility. Catastrophic market drawdowns near retirement could materially affect individual account outcomes. Mitigation would require either mandatory annuitization options or a public backstop, both of which add complexity.</w:t>
      </w:r>
    </w:p>
    <w:p>
      <w:pPr>
        <w:pStyle w:val="ListParagraph"/>
        <w:numPr>
          <w:ilvl w:val="0"/>
          <w:numId w:val="2"/>
        </w:numPr>
        <w:spacing w:after="80" w:line="280"/>
      </w:pPr>
      <w:r>
        <w:rPr>
          <w:rFonts w:ascii="Arial" w:cs="Arial" w:eastAsia="Arial" w:hAnsi="Arial"/>
          <w:b/>
          <w:bCs/>
          <w:sz w:val="22"/>
          <w:szCs w:val="22"/>
        </w:rPr>
        <w:t>Sovereign Fund real-return sensitivity analysis: the 6 percent real return used in this paper's illustrative individual-outcome figures (the sourced baseline is [[FIG:FIG-fund-real-return]]) warrants explicit sensitivity analysis because long-run real returns on sovereign investment funds vary substantially across reference points. Norway's Government Pension Fund Global, the platform's primary sovereign-fund comparable, has achieved approximately 4.0 percent real annual return over its operational history since 1998 (6.2 percent nominal less approximately 2.2 percent inflation). The historical US S&amp;P 500 long-run real return since 1928 is approximately 7 percent. A 60/40 equity-bond portfolio's long-run real return has been approximately 5 percent. The 6 percent figure used in the paper's illustrative outcomes is therefore optimistic relative to GPFG's actual experience but conservative relative to a US-equity-heavy portfolio long-run benchmark; it reflects an assumed portfolio composition somewhat more equity-heavy than GPFG's current allocation (GPFG is approximately 70 percent equities, 27 percent fixed income, 3 percent real estate) but does not assume a US-equity-heavy concentration. Sensitivity outcomes at alternative real return rates (60-year projection, holding contribution rates and beneficiary trajectory constant): at 4 percent real return (GPFG-equivalent), the projected Sovereign Fund balance at year 60 is approximately $58 trillion, versus approximately [[FIG:FIG-fund-corpus-year60]] at the [[FIG:FIG-fund-real-return]] sourced baseline and approximately $122 trillion [superseded v3.8.234: the published band is roughly $60-113T, led by $60T] at an optimistic 6 percent, and the transition borrowing peak around year 17 is approximately $1.8 trillion, versus approximately $1.2 trillion at an optimistic 6 percent. At 5 percent real return, the year-60 balance is approximately $86 trillion and the borrowing peak is approximately $1.5 trillion. At 7 percent real return, the year-60 balance is approximately $175 trillion and the borrowing peak is approximately $0.9 trillion. Implications: the platform's fiscal architecture remains viable across the realistic real-return range (4-7 percent) but the steady-state Sovereign Fund balance and the transition borrowing peak vary by factors of approximately 3x and 2x respectively across that range. The platform's honest position: the sourced baseline is the [[FIG:FIG-fund-real-return]] GPFG-realized rate; 6 percent is an optimistic upper case that some illustrative figures use, and the 4 percent scenario is the appropriate stress test for fiscal-conservatism analysis; under the 4 percent scenario the architecture works but with materially smaller margin and a larger transition borrowing window. This sensitivity analysis closes Pillar 1 Finding 3 from the v3.7.207 SITE-36 review.</w:t>
      </w:r>
      <w:r>
        <w:rPr>
          <w:rFonts w:ascii="Arial" w:cs="Arial" w:eastAsia="Arial" w:hAnsi="Arial"/>
          <w:sz w:val="22"/>
          <w:szCs w:val="22"/>
        </w:rPr>
      </w:r>
    </w:p>
    <w:p>
      <w:pPr>
        <w:pStyle w:val="ListParagraph"/>
        <w:numPr>
          <w:ilvl w:val="0"/>
          <w:numId w:val="2"/>
        </w:numPr>
        <w:spacing w:after="80" w:line="280"/>
      </w:pPr>
      <w:r>
        <w:rPr>
          <w:rFonts w:ascii="Arial" w:cs="Arial" w:eastAsia="Arial" w:hAnsi="Arial"/>
          <w:b/>
          <w:bCs/>
          <w:sz w:val="22"/>
          <w:szCs w:val="22"/>
        </w:rPr>
        <w:t xml:space="preserve">Behavioral effects. </w:t>
      </w:r>
      <w:r>
        <w:rPr>
          <w:rFonts w:ascii="Arial" w:cs="Arial" w:eastAsia="Arial" w:hAnsi="Arial"/>
          <w:sz w:val="22"/>
          <w:szCs w:val="22"/>
        </w:rPr>
        <w:t xml:space="preserve">The model does not account for participant behavior such as early withdrawal pressure, participation gaming, or political pressure to weaken contribution requirements. Australia’s super system has experienced erosion via early access provisions during periods of stress.</w:t>
      </w:r>
    </w:p>
    <w:p>
      <w:pPr>
        <w:pStyle w:val="ListParagraph"/>
        <w:numPr>
          <w:ilvl w:val="0"/>
          <w:numId w:val="2"/>
        </w:numPr>
        <w:spacing w:after="80" w:line="280"/>
      </w:pPr>
      <w:r>
        <w:rPr>
          <w:rFonts w:ascii="Arial" w:cs="Arial" w:eastAsia="Arial" w:hAnsi="Arial"/>
          <w:b/>
          <w:bCs/>
          <w:sz w:val="22"/>
          <w:szCs w:val="22"/>
        </w:rPr>
        <w:t xml:space="preserve">Distributional effects. </w:t>
      </w:r>
      <w:r>
        <w:rPr>
          <w:rFonts w:ascii="Arial" w:cs="Arial" w:eastAsia="Arial" w:hAnsi="Arial"/>
          <w:sz w:val="22"/>
          <w:szCs w:val="22"/>
        </w:rPr>
        <w:t xml:space="preserve">The model uses population-weighted averages. Lower-income workers, gig workers, those with interrupted careers, and the disabled would not accumulate the projected balances. The proposal as currently structured replaces a progressive program (current SS replacement rates favor lower earners) with a less progressive one. A means-tested supplement would address this but is not modeled here.</w:t>
      </w:r>
    </w:p>
    <w:p>
      <w:pPr>
        <w:pStyle w:val="Heading2"/>
        <w:spacing w:after="140" w:before="280"/>
      </w:pPr>
      <w:r>
        <w:rPr>
          <w:rFonts w:ascii="Arial" w:cs="Arial" w:eastAsia="Arial" w:hAnsi="Arial"/>
          <w:b/>
          <w:bCs/>
          <w:color w:val="1F4E78"/>
          <w:sz w:val="26"/>
          <w:szCs w:val="26"/>
        </w:rPr>
        <w:t xml:space="preserve">6.2 Open Design Questions</w:t>
      </w:r>
    </w:p>
    <w:p>
      <w:pPr>
        <w:pStyle w:val="ListParagraph"/>
        <w:numPr>
          <w:ilvl w:val="0"/>
          <w:numId w:val="2"/>
        </w:numPr>
        <w:spacing w:after="80" w:line="280"/>
      </w:pPr>
      <w:r>
        <w:rPr>
          <w:rFonts w:ascii="Arial" w:cs="Arial" w:eastAsia="Arial" w:hAnsi="Arial"/>
          <w:b/>
          <w:bCs/>
          <w:sz w:val="22"/>
          <w:szCs w:val="22"/>
        </w:rPr>
        <w:t xml:space="preserve">Treatment of self-employed and gig workers. </w:t>
      </w:r>
      <w:r>
        <w:rPr>
          <w:rFonts w:ascii="Arial" w:cs="Arial" w:eastAsia="Arial" w:hAnsi="Arial"/>
          <w:sz w:val="22"/>
          <w:szCs w:val="22"/>
        </w:rPr>
        <w:t xml:space="preserve">Current SS coverage extends through self-employment tax. The hybrid system requires additional design for non-W-2 workers.</w:t>
      </w:r>
    </w:p>
    <w:p>
      <w:pPr>
        <w:pStyle w:val="ListParagraph"/>
        <w:numPr>
          <w:ilvl w:val="0"/>
          <w:numId w:val="2"/>
        </w:numPr>
        <w:spacing w:after="80" w:line="280"/>
      </w:pPr>
      <w:r>
        <w:rPr>
          <w:rFonts w:ascii="Arial" w:cs="Arial" w:eastAsia="Arial" w:hAnsi="Arial"/>
          <w:b/>
          <w:bCs/>
          <w:sz w:val="22"/>
          <w:szCs w:val="22"/>
        </w:rPr>
        <w:t xml:space="preserve">Public sector workers. </w:t>
      </w:r>
      <w:r>
        <w:rPr>
          <w:rFonts w:ascii="Arial" w:cs="Arial" w:eastAsia="Arial" w:hAnsi="Arial"/>
          <w:sz w:val="22"/>
          <w:szCs w:val="22"/>
        </w:rPr>
        <w:t xml:space="preserve">Approximately 6 million state and local government employees are not currently covered by Social Security. Integration with existing public pension systems requires explicit treatment.</w:t>
      </w:r>
    </w:p>
    <w:p>
      <w:pPr>
        <w:pStyle w:val="ListParagraph"/>
        <w:numPr>
          <w:ilvl w:val="0"/>
          <w:numId w:val="2"/>
        </w:numPr>
        <w:spacing w:after="80" w:line="280"/>
      </w:pPr>
      <w:r>
        <w:rPr>
          <w:rFonts w:ascii="Arial" w:cs="Arial" w:eastAsia="Arial" w:hAnsi="Arial"/>
          <w:b/>
          <w:bCs/>
          <w:sz w:val="22"/>
          <w:szCs w:val="22"/>
        </w:rPr>
        <w:t xml:space="preserve">Bequest treatment. </w:t>
      </w:r>
      <w:r>
        <w:rPr>
          <w:rFonts w:ascii="Arial" w:cs="Arial" w:eastAsia="Arial" w:hAnsi="Arial"/>
          <w:sz w:val="22"/>
          <w:szCs w:val="22"/>
        </w:rPr>
        <w:t xml:space="preserve">Individual accounts are inheritable assets, which represents a significant change from Social Security. Estate tax interactions and equity considerations require analysis.</w:t>
      </w:r>
    </w:p>
    <w:p>
      <w:pPr>
        <w:pStyle w:val="ListParagraph"/>
        <w:numPr>
          <w:ilvl w:val="0"/>
          <w:numId w:val="2"/>
        </w:numPr>
        <w:spacing w:after="80" w:line="280"/>
      </w:pPr>
      <w:r>
        <w:rPr>
          <w:rFonts w:ascii="Arial" w:cs="Arial" w:eastAsia="Arial" w:hAnsi="Arial"/>
          <w:b/>
          <w:bCs/>
          <w:sz w:val="22"/>
          <w:szCs w:val="22"/>
        </w:rPr>
        <w:t xml:space="preserve">International workers and totalization. </w:t>
      </w:r>
      <w:r>
        <w:rPr>
          <w:rFonts w:ascii="Arial" w:cs="Arial" w:eastAsia="Arial" w:hAnsi="Arial"/>
          <w:sz w:val="22"/>
          <w:szCs w:val="22"/>
        </w:rPr>
        <w:t xml:space="preserve">Existing Social Security totalization agreements with 30 countries require adaptation under the new system.</w:t>
      </w:r>
    </w:p>
    <w:p>
      <w:pPr>
        <w:pStyle w:val="Heading2"/>
        <w:spacing w:after="140" w:before="280"/>
      </w:pPr>
      <w:r>
        <w:rPr>
          <w:rFonts w:ascii="Arial" w:cs="Arial" w:eastAsia="Arial" w:hAnsi="Arial"/>
          <w:b/>
          <w:bCs/>
          <w:color w:val="1F4E78"/>
          <w:sz w:val="26"/>
          <w:szCs w:val="26"/>
        </w:rPr>
        <w:t xml:space="preserve">6.3 What Would Strengthen the Analysis</w:t>
      </w:r>
    </w:p>
    <w:p>
      <w:pPr>
        <w:spacing w:after="160" w:line="300"/>
        <w:jc w:val="both"/>
      </w:pPr>
      <w:r>
        <w:rPr>
          <w:rFonts w:ascii="Arial" w:cs="Arial" w:eastAsia="Arial" w:hAnsi="Arial"/>
          <w:color w:val="262626"/>
          <w:sz w:val="22"/>
          <w:szCs w:val="22"/>
        </w:rPr>
        <w:t xml:space="preserve">This paper presents a deterministic exploratory model. A serious policy adoption would require additional analytical depth that is beyond the scope of this initial proposal but is well within the capacity of established institutions:</w:t>
      </w:r>
    </w:p>
    <w:p>
      <w:pPr>
        <w:pStyle w:val="ListParagraph"/>
        <w:numPr>
          <w:ilvl w:val="0"/>
          <w:numId w:val="2"/>
        </w:numPr>
        <w:spacing w:after="80" w:line="280"/>
      </w:pPr>
      <w:r>
        <w:rPr>
          <w:rFonts w:ascii="Arial" w:cs="Arial" w:eastAsia="Arial" w:hAnsi="Arial"/>
          <w:color w:val="262626"/>
          <w:sz w:val="22"/>
          <w:szCs w:val="22"/>
        </w:rPr>
        <w:t xml:space="preserve">Microsimulation with cohort-by-cohort tracking using Social Security Administration data.</w:t>
      </w:r>
    </w:p>
    <w:p>
      <w:pPr>
        <w:pStyle w:val="ListParagraph"/>
        <w:numPr>
          <w:ilvl w:val="0"/>
          <w:numId w:val="2"/>
        </w:numPr>
        <w:spacing w:after="80" w:line="280"/>
      </w:pPr>
      <w:r>
        <w:rPr>
          <w:rFonts w:ascii="Arial" w:cs="Arial" w:eastAsia="Arial" w:hAnsi="Arial"/>
          <w:color w:val="262626"/>
          <w:sz w:val="22"/>
          <w:szCs w:val="22"/>
        </w:rPr>
        <w:t xml:space="preserve">Stochastic Monte Carlo modeling of investment return distributions.</w:t>
      </w:r>
    </w:p>
    <w:p>
      <w:pPr>
        <w:pStyle w:val="ListParagraph"/>
        <w:numPr>
          <w:ilvl w:val="0"/>
          <w:numId w:val="2"/>
        </w:numPr>
        <w:spacing w:after="80" w:line="280"/>
      </w:pPr>
      <w:r>
        <w:rPr>
          <w:rFonts w:ascii="Arial" w:cs="Arial" w:eastAsia="Arial" w:hAnsi="Arial"/>
          <w:color w:val="262626"/>
          <w:sz w:val="22"/>
          <w:szCs w:val="22"/>
        </w:rPr>
        <w:t xml:space="preserve">Behavioral parameter estimation drawing on Australian and Singaporean implementation experience.</w:t>
      </w:r>
    </w:p>
    <w:p>
      <w:pPr>
        <w:pStyle w:val="ListParagraph"/>
        <w:numPr>
          <w:ilvl w:val="0"/>
          <w:numId w:val="2"/>
        </w:numPr>
        <w:spacing w:after="80" w:line="280"/>
      </w:pPr>
      <w:r>
        <w:rPr>
          <w:rFonts w:ascii="Arial" w:cs="Arial" w:eastAsia="Arial" w:hAnsi="Arial"/>
          <w:color w:val="262626"/>
          <w:sz w:val="22"/>
          <w:szCs w:val="22"/>
        </w:rPr>
        <w:t xml:space="preserve">Distributional analysis by income decile, race, gender, and geography.</w:t>
      </w:r>
    </w:p>
    <w:p>
      <w:pPr>
        <w:pStyle w:val="ListParagraph"/>
        <w:numPr>
          <w:ilvl w:val="0"/>
          <w:numId w:val="2"/>
        </w:numPr>
        <w:spacing w:after="80" w:line="280"/>
      </w:pPr>
      <w:r>
        <w:rPr>
          <w:rFonts w:ascii="Arial" w:cs="Arial" w:eastAsia="Arial" w:hAnsi="Arial"/>
          <w:color w:val="262626"/>
          <w:sz w:val="22"/>
          <w:szCs w:val="22"/>
        </w:rPr>
        <w:t xml:space="preserve">General equilibrium effects on labor markets, savings rates, and capital allocation.</w:t>
      </w:r>
    </w:p>
    <w:p>
      <w:r>
        <w:br w:type="page"/>
      </w:r>
    </w:p>
    <w:p>
      <w:pPr>
        <w:pStyle w:val="Heading1"/>
        <w:spacing w:after="200" w:before="360"/>
      </w:pPr>
      <w:r>
        <w:rPr>
          <w:rFonts w:ascii="Arial" w:cs="Arial" w:eastAsia="Arial" w:hAnsi="Arial"/>
          <w:b/>
          <w:bCs/>
          <w:color w:val="1F4E78"/>
          <w:sz w:val="32"/>
          <w:szCs w:val="32"/>
        </w:rPr>
        <w:t xml:space="preserve">7. Next Steps</w:t>
      </w:r>
    </w:p>
    <w:p>
      <w:pPr>
        <w:pStyle w:val="Heading2"/>
        <w:spacing w:after="140" w:before="280"/>
      </w:pPr>
      <w:r>
        <w:rPr>
          <w:rFonts w:ascii="Arial" w:cs="Arial" w:eastAsia="Arial" w:hAnsi="Arial"/>
          <w:b/>
          <w:bCs/>
          <w:color w:val="1F4E78"/>
          <w:sz w:val="26"/>
          <w:szCs w:val="26"/>
        </w:rPr>
        <w:t xml:space="preserve">7.1 What This Paper Is and Is Not</w:t>
      </w:r>
    </w:p>
    <w:p>
      <w:pPr>
        <w:spacing w:after="160" w:line="300"/>
        <w:jc w:val="both"/>
      </w:pPr>
      <w:r>
        <w:rPr>
          <w:rFonts w:ascii="Arial" w:cs="Arial" w:eastAsia="Arial" w:hAnsi="Arial"/>
          <w:color w:val="262626"/>
          <w:sz w:val="22"/>
          <w:szCs w:val="22"/>
        </w:rPr>
        <w:t xml:space="preserve">This is a proposal for serious analytical consideration, not a finished policy. Its purpose is to establish that a hybrid sunset-and-replacement structure is mathematically viable and to invite rigorous critique from established policy institutions.</w:t>
      </w:r>
    </w:p>
    <w:p>
      <w:pPr>
        <w:spacing w:after="160" w:line="300"/>
        <w:jc w:val="both"/>
      </w:pPr>
      <w:r>
        <w:rPr>
          <w:rFonts w:ascii="Arial" w:cs="Arial" w:eastAsia="Arial" w:hAnsi="Arial"/>
          <w:color w:val="262626"/>
          <w:sz w:val="22"/>
          <w:szCs w:val="22"/>
        </w:rPr>
        <w:t xml:space="preserve">The author is not a credentialed economist or a policy professional. The strength of the proposal rests on its internal consistency and its alignment with successful international comparables, not on the author’s credentials. Productive engagement with this paper from any reader regardless of professional background is welcomed.</w:t>
      </w:r>
    </w:p>
    <w:p>
      <w:pPr>
        <w:pStyle w:val="Heading2"/>
        <w:spacing w:after="140" w:before="280"/>
      </w:pPr>
      <w:r>
        <w:rPr>
          <w:rFonts w:ascii="Arial" w:cs="Arial" w:eastAsia="Arial" w:hAnsi="Arial"/>
          <w:b/>
          <w:bCs/>
          <w:color w:val="1F4E78"/>
          <w:sz w:val="26"/>
          <w:szCs w:val="26"/>
        </w:rPr>
        <w:t xml:space="preserve">7.2 Invited Critique</w:t>
      </w:r>
    </w:p>
    <w:p>
      <w:pPr>
        <w:spacing w:after="160" w:line="300"/>
        <w:jc w:val="both"/>
      </w:pPr>
      <w:r>
        <w:rPr>
          <w:rFonts w:ascii="Arial" w:cs="Arial" w:eastAsia="Arial" w:hAnsi="Arial"/>
          <w:color w:val="262626"/>
          <w:sz w:val="22"/>
          <w:szCs w:val="22"/>
        </w:rPr>
        <w:t xml:space="preserve">The author specifically invites critical review on the following points:</w:t>
      </w:r>
    </w:p>
    <w:p>
      <w:pPr>
        <w:pStyle w:val="ListParagraph"/>
        <w:numPr>
          <w:ilvl w:val="0"/>
          <w:numId w:val="2"/>
        </w:numPr>
        <w:spacing w:after="80" w:line="280"/>
      </w:pPr>
      <w:r>
        <w:rPr>
          <w:rFonts w:ascii="Arial" w:cs="Arial" w:eastAsia="Arial" w:hAnsi="Arial"/>
          <w:color w:val="262626"/>
          <w:sz w:val="22"/>
          <w:szCs w:val="22"/>
        </w:rPr>
        <w:t xml:space="preserve">Whether the simplified mortality and contribution models materially distort the headline conclusions.</w:t>
      </w:r>
    </w:p>
    <w:p>
      <w:pPr>
        <w:pStyle w:val="ListParagraph"/>
        <w:numPr>
          <w:ilvl w:val="0"/>
          <w:numId w:val="2"/>
        </w:numPr>
        <w:spacing w:after="80" w:line="280"/>
      </w:pPr>
      <w:r>
        <w:rPr>
          <w:rFonts w:ascii="Arial" w:cs="Arial" w:eastAsia="Arial" w:hAnsi="Arial"/>
          <w:color w:val="262626"/>
          <w:sz w:val="22"/>
          <w:szCs w:val="22"/>
        </w:rPr>
        <w:t xml:space="preserve">Whether the governance framework as specified is robust against the political pressures that have historically degraded similar institutions.</w:t>
      </w:r>
    </w:p>
    <w:p>
      <w:pPr>
        <w:pStyle w:val="ListParagraph"/>
        <w:numPr>
          <w:ilvl w:val="0"/>
          <w:numId w:val="2"/>
        </w:numPr>
        <w:spacing w:after="80" w:line="280"/>
      </w:pPr>
      <w:r>
        <w:rPr>
          <w:rFonts w:ascii="Arial" w:cs="Arial" w:eastAsia="Arial" w:hAnsi="Arial"/>
          <w:color w:val="262626"/>
          <w:sz w:val="22"/>
          <w:szCs w:val="22"/>
        </w:rPr>
        <w:t xml:space="preserve">Whether the proposed contribution rates can withstand stress scenarios involving recession, demographic shock, or sustained low returns.</w:t>
      </w:r>
    </w:p>
    <w:p>
      <w:pPr>
        <w:pStyle w:val="ListParagraph"/>
        <w:numPr>
          <w:ilvl w:val="0"/>
          <w:numId w:val="2"/>
        </w:numPr>
        <w:spacing w:after="80" w:line="280"/>
      </w:pPr>
      <w:r>
        <w:rPr>
          <w:rFonts w:ascii="Arial" w:cs="Arial" w:eastAsia="Arial" w:hAnsi="Arial"/>
          <w:color w:val="262626"/>
          <w:sz w:val="22"/>
          <w:szCs w:val="22"/>
        </w:rPr>
        <w:t xml:space="preserve">Whether the distributional effects, properly modeled, would erode the universalist political appeal that the proposal’s framing relies upon.</w:t>
      </w:r>
    </w:p>
    <w:p>
      <w:pPr>
        <w:pStyle w:val="Heading2"/>
        <w:spacing w:after="140" w:before="280"/>
      </w:pPr>
      <w:r>
        <w:rPr>
          <w:rFonts w:ascii="Arial" w:cs="Arial" w:eastAsia="Arial" w:hAnsi="Arial"/>
          <w:b/>
          <w:bCs/>
          <w:color w:val="1F4E78"/>
          <w:sz w:val="26"/>
          <w:szCs w:val="26"/>
        </w:rPr>
        <w:t xml:space="preserve">7.3 Pathways for Engagement</w:t>
      </w:r>
    </w:p>
    <w:p>
      <w:pPr>
        <w:spacing w:after="160" w:line="300"/>
        <w:jc w:val="both"/>
      </w:pPr>
      <w:r>
        <w:rPr>
          <w:rFonts w:ascii="Arial" w:cs="Arial" w:eastAsia="Arial" w:hAnsi="Arial"/>
          <w:color w:val="262626"/>
          <w:sz w:val="22"/>
          <w:szCs w:val="22"/>
        </w:rPr>
        <w:t xml:space="preserve">Comments, critique, and engagement are welcomed from any source. The author will respond to substantive technical feedback and will publish material revisions of this paper as warranted by such feedback. Readers in policy, academic, or political institutions are particularly invited to suggest improvements or to indicate interest in collaborative refinement of the proposal.</w:t>
      </w:r>
    </w:p>
    <w:p>
      <w:pPr>
        <w:spacing w:after="4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4"/>
              <w:left w:val="single" w:color="2E75B6" w:sz="18"/>
              <w:bottom w:val="single" w:color="2E75B6" w:sz="4"/>
              <w:right w:val="single" w:color="2E75B6" w:sz="4"/>
            </w:tcBorders>
            <w:shd w:fill="DEEAF6" w:val="clear"/>
            <w:tcMar>
              <w:top w:type="dxa" w:w="200"/>
              <w:left w:type="dxa" w:w="240"/>
              <w:bottom w:type="dxa" w:w="200"/>
              <w:right w:type="dxa" w:w="240"/>
            </w:tcMar>
          </w:tcPr>
          <w:p>
            <w:pPr>
              <w:spacing w:line="280"/>
            </w:pPr>
            <w:r>
              <w:rPr>
                <w:rFonts w:ascii="Arial" w:cs="Arial" w:eastAsia="Arial" w:hAnsi="Arial"/>
                <w:i/>
                <w:iCs/>
                <w:color w:val="262626"/>
                <w:sz w:val="22"/>
                <w:szCs w:val="22"/>
              </w:rPr>
              <w:t xml:space="preserve">The Community Contribution Plan rests on a simple proposition: a fair retirement system asks everyone to contribute and ensures everyone benefits. The current system was built on this premise and remains popular for the same reason. The mechanism it uses to honor that premise has reached the limits of its viability. This proposal preserves the principle by changing the mechanism.</w:t>
            </w:r>
          </w:p>
        </w:tc>
      </w:tr>
    </w:tbl>
    <w:p>
      <w:pPr>
        <w:spacing w:after="200"/>
      </w:pPr>
      <w: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Community Contribution Plan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4" w:space="4"/>
      </w:pBdr>
      <w:jc w:val="right"/>
    </w:pPr>
    <w:r>
      <w:rPr>
        <w:rFonts w:ascii="Arial" w:cs="Arial" w:eastAsia="Arial" w:hAnsi="Arial"/>
        <w:i/>
        <w:iCs/>
        <w:color w:val="595959"/>
        <w:sz w:val="18"/>
        <w:szCs w:val="18"/>
      </w:rPr>
      <w:t xml:space="preserve">The Community Contribution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62626"/>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Arial" w:cs="Arial" w:eastAsia="Arial" w:hAnsi="Arial"/>
      <w:b/>
      <w:bCs/>
      <w:color w:val="1F4E78"/>
      <w:sz w:val="32"/>
      <w:szCs w:val="32"/>
    </w:rPr>
  </w:style>
  <w:style w:type="paragraph" w:styleId="Heading2">
    <w:name w:val="Heading 2"/>
    <w:basedOn w:val="Normal"/>
    <w:next w:val="Normal"/>
    <w:qFormat/>
    <w:pPr>
      <w:spacing w:after="140" w:before="280"/>
      <w:outlineLvl w:val="1"/>
    </w:pPr>
    <w:rPr>
      <w:rFonts w:ascii="Arial" w:cs="Arial" w:eastAsia="Arial" w:hAnsi="Arial"/>
      <w:b/>
      <w:bCs/>
      <w:color w:val="1F4E78"/>
      <w:sz w:val="26"/>
      <w:szCs w:val="26"/>
    </w:rPr>
  </w:style>
  <w:style w:type="paragraph" w:styleId="Heading3">
    <w:name w:val="Heading 3"/>
    <w:basedOn w:val="Normal"/>
    <w:next w:val="Normal"/>
    <w:qFormat/>
    <w:pPr>
      <w:spacing w:after="100" w:before="200"/>
      <w:outlineLvl w:val="2"/>
    </w:pPr>
    <w:rPr>
      <w:rFonts w:ascii="Arial" w:cs="Arial" w:eastAsia="Arial" w:hAnsi="Arial"/>
      <w:b/>
      <w:bCs/>
      <w:color w:val="2E75B6"/>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Community Contribution Plan</dc:title>
  <dc:creator>Jason</dc:creator>
  <dc:description>A hybrid reform proposal for Social Security solvency</dc:description>
  <cp:lastModifiedBy>Un-named</cp:lastModifiedBy>
  <cp:revision>1</cp:revision>
  <dcterms:created xsi:type="dcterms:W3CDTF">2026-05-03T14:25:49.936Z</dcterms:created>
  <dcterms:modified xsi:type="dcterms:W3CDTF">2026-05-03T14:25:49.936Z</dcterms:modified>
</cp:coreProperties>
</file>

<file path=docProps/custom.xml><?xml version="1.0" encoding="utf-8"?>
<Properties xmlns="http://schemas.openxmlformats.org/officeDocument/2006/custom-properties" xmlns:vt="http://schemas.openxmlformats.org/officeDocument/2006/docPropsVTypes"/>
</file>